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6"/>
        <w:ind w:left="0" w:right="923"/>
        <w:jc w:val="right"/>
      </w:pPr>
      <w:r>
        <w:rPr>
          <w:w w:val="105"/>
        </w:rPr>
        <w:t>Allegato n. 8</w:t>
      </w:r>
    </w:p>
    <w:p>
      <w:pPr>
        <w:pStyle w:val="BodyText"/>
        <w:rPr>
          <w:b/>
          <w:sz w:val="20"/>
        </w:rPr>
      </w:pPr>
    </w:p>
    <w:p>
      <w:pPr>
        <w:pStyle w:val="BodyText"/>
        <w:spacing w:before="4"/>
        <w:rPr>
          <w:b/>
          <w:sz w:val="16"/>
        </w:rPr>
      </w:pPr>
    </w:p>
    <w:p>
      <w:pPr>
        <w:spacing w:line="252" w:lineRule="auto" w:before="106"/>
        <w:ind w:left="2442" w:right="3242" w:firstLine="0"/>
        <w:jc w:val="center"/>
        <w:rPr>
          <w:b/>
          <w:sz w:val="21"/>
        </w:rPr>
      </w:pPr>
      <w:r>
        <w:rPr>
          <w:b/>
          <w:w w:val="105"/>
          <w:sz w:val="21"/>
        </w:rPr>
        <w:t>DICHIARAZIONE SOSTITUTIVA DI ATTO DI NOTORIETA’ AIUTI “DE MINIMIS” EX REG. 1407/2013</w:t>
      </w:r>
    </w:p>
    <w:p>
      <w:pPr>
        <w:spacing w:line="251" w:lineRule="exact" w:before="0"/>
        <w:ind w:left="2442" w:right="3239" w:firstLine="0"/>
        <w:jc w:val="center"/>
        <w:rPr>
          <w:b/>
          <w:sz w:val="21"/>
        </w:rPr>
      </w:pPr>
      <w:r>
        <w:rPr>
          <w:b/>
          <w:w w:val="105"/>
          <w:sz w:val="21"/>
        </w:rPr>
        <w:t>(Art. 47 del D.P.R. 28 dicembre 2000, n. 445)</w:t>
      </w:r>
    </w:p>
    <w:p>
      <w:pPr>
        <w:pStyle w:val="BodyText"/>
        <w:spacing w:before="3"/>
        <w:rPr>
          <w:b/>
          <w:sz w:val="37"/>
        </w:rPr>
      </w:pPr>
    </w:p>
    <w:p>
      <w:pPr>
        <w:pStyle w:val="BodyText"/>
        <w:spacing w:line="376" w:lineRule="auto"/>
        <w:ind w:left="1258" w:right="922" w:hanging="1134"/>
        <w:jc w:val="both"/>
      </w:pPr>
      <w:r>
        <w:rPr>
          <w:b/>
          <w:w w:val="105"/>
        </w:rPr>
        <w:t>Oggetto: </w:t>
      </w:r>
      <w:r>
        <w:rPr>
          <w:w w:val="105"/>
        </w:rPr>
        <w:t>PSR Campania 2014- 2020. MISURA 19 – Sviluppo locale di tipo Partecipativo – LEADER. Sottomisura 19.2. T.I. 19.2.1 - Misura 6 - Tipologia di intervento 6.2.1 “Aiuto all’avviamento d’impresa per attività extra agricole nelle zone rurali”.</w:t>
      </w:r>
    </w:p>
    <w:p>
      <w:pPr>
        <w:pStyle w:val="BodyText"/>
        <w:spacing w:before="2"/>
        <w:ind w:left="1258"/>
        <w:jc w:val="both"/>
      </w:pPr>
      <w:r>
        <w:rPr>
          <w:w w:val="105"/>
        </w:rPr>
        <w:t>Soggetto beneficiario: ………….………….</w:t>
      </w:r>
    </w:p>
    <w:p>
      <w:pPr>
        <w:pStyle w:val="Heading1"/>
        <w:spacing w:before="147"/>
        <w:ind w:left="1258"/>
        <w:jc w:val="both"/>
      </w:pPr>
      <w:r>
        <w:rPr>
          <w:w w:val="105"/>
        </w:rPr>
        <w:t>Dichiarazione sugli “aiuti de minimis”.</w:t>
      </w:r>
    </w:p>
    <w:p>
      <w:pPr>
        <w:pStyle w:val="BodyText"/>
        <w:rPr>
          <w:b/>
          <w:sz w:val="20"/>
        </w:rPr>
      </w:pPr>
    </w:p>
    <w:p>
      <w:pPr>
        <w:pStyle w:val="BodyText"/>
        <w:spacing w:before="4"/>
        <w:rPr>
          <w:b/>
          <w:sz w:val="16"/>
        </w:rPr>
      </w:pPr>
    </w:p>
    <w:p>
      <w:pPr>
        <w:spacing w:after="0"/>
        <w:rPr>
          <w:sz w:val="16"/>
        </w:rPr>
        <w:sectPr>
          <w:headerReference w:type="default" r:id="rId5"/>
          <w:type w:val="continuous"/>
          <w:pgSz w:w="11910" w:h="16840"/>
          <w:pgMar w:header="717" w:top="1700" w:bottom="280" w:left="1020" w:right="200"/>
        </w:sectPr>
      </w:pPr>
    </w:p>
    <w:p>
      <w:pPr>
        <w:pStyle w:val="BodyText"/>
        <w:tabs>
          <w:tab w:pos="5644" w:val="left" w:leader="none"/>
        </w:tabs>
        <w:spacing w:before="106"/>
        <w:ind w:left="124"/>
        <w:rPr>
          <w:rFonts w:ascii="Times New Roman"/>
        </w:rPr>
      </w:pPr>
      <w:r>
        <w:rPr>
          <w:w w:val="105"/>
        </w:rPr>
        <w:t>Il/la  </w:t>
      </w:r>
      <w:r>
        <w:rPr>
          <w:spacing w:val="12"/>
          <w:w w:val="105"/>
        </w:rPr>
        <w:t> </w:t>
      </w:r>
      <w:r>
        <w:rPr>
          <w:w w:val="105"/>
        </w:rPr>
        <w:t>sottoscritto/a</w:t>
      </w:r>
      <w:r>
        <w:rPr/>
        <w:t>   </w:t>
      </w:r>
      <w:r>
        <w:rPr>
          <w:spacing w:val="3"/>
        </w:rPr>
        <w:t> </w:t>
      </w:r>
      <w:r>
        <w:rPr>
          <w:rFonts w:ascii="Times New Roman"/>
          <w:w w:val="102"/>
          <w:u w:val="single"/>
        </w:rPr>
        <w:t> </w:t>
      </w:r>
      <w:r>
        <w:rPr>
          <w:rFonts w:ascii="Times New Roman"/>
          <w:u w:val="single"/>
        </w:rPr>
        <w:tab/>
      </w:r>
    </w:p>
    <w:p>
      <w:pPr>
        <w:pStyle w:val="BodyText"/>
        <w:tabs>
          <w:tab w:pos="2648" w:val="left" w:leader="none"/>
        </w:tabs>
        <w:spacing w:before="106"/>
        <w:ind w:left="124"/>
        <w:rPr>
          <w:rFonts w:ascii="Times New Roman"/>
        </w:rPr>
      </w:pPr>
      <w:r>
        <w:rPr/>
        <w:br w:type="column"/>
      </w:r>
      <w:r>
        <w:rPr>
          <w:w w:val="105"/>
        </w:rPr>
        <w:t>nato  </w:t>
      </w:r>
      <w:r>
        <w:rPr>
          <w:spacing w:val="34"/>
          <w:w w:val="105"/>
        </w:rPr>
        <w:t> </w:t>
      </w:r>
      <w:r>
        <w:rPr>
          <w:w w:val="105"/>
        </w:rPr>
        <w:t>a</w:t>
      </w:r>
      <w:r>
        <w:rPr/>
        <w:t>   </w:t>
      </w:r>
      <w:r>
        <w:rPr>
          <w:spacing w:val="3"/>
        </w:rPr>
        <w:t> </w:t>
      </w:r>
      <w:r>
        <w:rPr>
          <w:rFonts w:ascii="Times New Roman"/>
          <w:w w:val="102"/>
          <w:u w:val="single"/>
        </w:rPr>
        <w:t> </w:t>
      </w:r>
      <w:r>
        <w:rPr>
          <w:rFonts w:ascii="Times New Roman"/>
          <w:u w:val="single"/>
        </w:rPr>
        <w:tab/>
      </w:r>
    </w:p>
    <w:p>
      <w:pPr>
        <w:pStyle w:val="BodyText"/>
        <w:tabs>
          <w:tab w:pos="971" w:val="left" w:leader="none"/>
        </w:tabs>
        <w:spacing w:before="106"/>
        <w:ind w:left="124"/>
      </w:pPr>
      <w:r>
        <w:rPr/>
        <w:br w:type="column"/>
      </w:r>
      <w:r>
        <w:rPr>
          <w:w w:val="105"/>
        </w:rPr>
        <w:t>(Prov.</w:t>
      </w:r>
      <w:r>
        <w:rPr>
          <w:w w:val="105"/>
          <w:u w:val="single"/>
        </w:rPr>
        <w:t> </w:t>
        <w:tab/>
      </w:r>
      <w:r>
        <w:rPr>
          <w:w w:val="105"/>
        </w:rPr>
        <w:t>)</w:t>
      </w:r>
      <w:r>
        <w:rPr>
          <w:spacing w:val="42"/>
          <w:w w:val="105"/>
        </w:rPr>
        <w:t> </w:t>
      </w:r>
      <w:r>
        <w:rPr>
          <w:w w:val="105"/>
        </w:rPr>
        <w:t>il</w:t>
      </w:r>
    </w:p>
    <w:p>
      <w:pPr>
        <w:spacing w:after="0"/>
        <w:sectPr>
          <w:type w:val="continuous"/>
          <w:pgSz w:w="11910" w:h="16840"/>
          <w:pgMar w:top="1700" w:bottom="280" w:left="1020" w:right="200"/>
          <w:cols w:num="3" w:equalWidth="0">
            <w:col w:w="5646" w:space="69"/>
            <w:col w:w="2649" w:space="68"/>
            <w:col w:w="2258"/>
          </w:cols>
        </w:sectPr>
      </w:pPr>
    </w:p>
    <w:p>
      <w:pPr>
        <w:pStyle w:val="BodyText"/>
        <w:tabs>
          <w:tab w:pos="1969" w:val="left" w:leader="none"/>
          <w:tab w:pos="6027" w:val="left" w:leader="none"/>
          <w:tab w:pos="8574" w:val="left" w:leader="none"/>
        </w:tabs>
        <w:spacing w:before="147"/>
        <w:ind w:left="124"/>
      </w:pPr>
      <w:r>
        <w:rPr>
          <w:rFonts w:ascii="Times New Roman"/>
          <w:w w:val="102"/>
          <w:u w:val="single"/>
        </w:rPr>
        <w:t> </w:t>
      </w:r>
      <w:r>
        <w:rPr>
          <w:rFonts w:ascii="Times New Roman"/>
          <w:u w:val="single"/>
        </w:rPr>
        <w:tab/>
      </w:r>
      <w:r>
        <w:rPr>
          <w:w w:val="105"/>
        </w:rPr>
        <w:t>,</w:t>
      </w:r>
      <w:r>
        <w:rPr>
          <w:spacing w:val="14"/>
          <w:w w:val="105"/>
        </w:rPr>
        <w:t> </w:t>
      </w:r>
      <w:r>
        <w:rPr>
          <w:w w:val="105"/>
        </w:rPr>
        <w:t>Codice</w:t>
      </w:r>
      <w:r>
        <w:rPr>
          <w:spacing w:val="16"/>
          <w:w w:val="105"/>
        </w:rPr>
        <w:t> </w:t>
      </w:r>
      <w:r>
        <w:rPr>
          <w:w w:val="105"/>
        </w:rPr>
        <w:t>Fiscale</w:t>
      </w:r>
      <w:r>
        <w:rPr>
          <w:w w:val="105"/>
          <w:u w:val="single"/>
        </w:rPr>
        <w:t> </w:t>
        <w:tab/>
      </w:r>
      <w:r>
        <w:rPr>
          <w:w w:val="105"/>
        </w:rPr>
        <w:t>,</w:t>
      </w:r>
      <w:r>
        <w:rPr>
          <w:spacing w:val="16"/>
          <w:w w:val="105"/>
        </w:rPr>
        <w:t> </w:t>
      </w:r>
      <w:r>
        <w:rPr>
          <w:w w:val="105"/>
        </w:rPr>
        <w:t>residente</w:t>
      </w:r>
      <w:r>
        <w:rPr>
          <w:spacing w:val="17"/>
          <w:w w:val="105"/>
        </w:rPr>
        <w:t> </w:t>
      </w:r>
      <w:r>
        <w:rPr>
          <w:w w:val="105"/>
        </w:rPr>
        <w:t>a</w:t>
      </w:r>
      <w:r>
        <w:rPr>
          <w:w w:val="105"/>
          <w:u w:val="single"/>
        </w:rPr>
        <w:t> </w:t>
        <w:tab/>
      </w:r>
      <w:r>
        <w:rPr>
          <w:w w:val="105"/>
        </w:rPr>
        <w:t>in</w:t>
      </w:r>
      <w:r>
        <w:rPr>
          <w:spacing w:val="20"/>
          <w:w w:val="105"/>
        </w:rPr>
        <w:t> </w:t>
      </w:r>
      <w:r>
        <w:rPr>
          <w:w w:val="105"/>
        </w:rPr>
        <w:t>via/Piazza</w:t>
      </w:r>
    </w:p>
    <w:p>
      <w:pPr>
        <w:pStyle w:val="BodyText"/>
        <w:tabs>
          <w:tab w:pos="4249" w:val="left" w:leader="none"/>
          <w:tab w:pos="5396" w:val="left" w:leader="none"/>
          <w:tab w:pos="7387" w:val="left" w:leader="none"/>
        </w:tabs>
        <w:spacing w:line="376" w:lineRule="auto" w:before="142"/>
        <w:ind w:left="124" w:right="3229"/>
      </w:pPr>
      <w:r>
        <w:rPr>
          <w:rFonts w:ascii="Times New Roman" w:hAnsi="Times New Roman"/>
          <w:w w:val="102"/>
          <w:u w:val="single"/>
        </w:rPr>
        <w:t> </w:t>
      </w:r>
      <w:r>
        <w:rPr>
          <w:rFonts w:ascii="Times New Roman" w:hAnsi="Times New Roman"/>
          <w:u w:val="single"/>
        </w:rPr>
        <w:tab/>
      </w:r>
      <w:r>
        <w:rPr>
          <w:w w:val="105"/>
        </w:rPr>
        <w:t>n.</w:t>
      </w:r>
      <w:r>
        <w:rPr>
          <w:w w:val="105"/>
          <w:u w:val="single"/>
        </w:rPr>
        <w:t> </w:t>
        <w:tab/>
      </w:r>
      <w:r>
        <w:rPr>
          <w:w w:val="105"/>
        </w:rPr>
        <w:t>(CAP</w:t>
      </w:r>
      <w:r>
        <w:rPr>
          <w:w w:val="105"/>
          <w:u w:val="single"/>
        </w:rPr>
        <w:t> </w:t>
        <w:tab/>
      </w:r>
      <w:r>
        <w:rPr>
          <w:spacing w:val="-16"/>
          <w:w w:val="105"/>
        </w:rPr>
        <w:t>) </w:t>
      </w:r>
      <w:r>
        <w:rPr>
          <w:w w:val="105"/>
        </w:rPr>
        <w:t>in qualità di (barrare la casella che</w:t>
      </w:r>
      <w:r>
        <w:rPr>
          <w:spacing w:val="-14"/>
          <w:w w:val="105"/>
        </w:rPr>
        <w:t> </w:t>
      </w:r>
      <w:r>
        <w:rPr>
          <w:w w:val="105"/>
        </w:rPr>
        <w:t>interessa)</w:t>
      </w:r>
    </w:p>
    <w:p>
      <w:pPr>
        <w:pStyle w:val="ListParagraph"/>
        <w:numPr>
          <w:ilvl w:val="0"/>
          <w:numId w:val="1"/>
        </w:numPr>
        <w:tabs>
          <w:tab w:pos="893" w:val="left" w:leader="none"/>
          <w:tab w:pos="894" w:val="left" w:leader="none"/>
        </w:tabs>
        <w:spacing w:line="240" w:lineRule="auto" w:before="2" w:after="0"/>
        <w:ind w:left="893" w:right="0" w:hanging="410"/>
        <w:jc w:val="left"/>
        <w:rPr>
          <w:sz w:val="21"/>
        </w:rPr>
      </w:pPr>
      <w:r>
        <w:rPr>
          <w:w w:val="105"/>
          <w:sz w:val="21"/>
        </w:rPr>
        <w:t>titolare dell’impresa</w:t>
      </w:r>
      <w:r>
        <w:rPr>
          <w:spacing w:val="-2"/>
          <w:w w:val="105"/>
          <w:sz w:val="21"/>
        </w:rPr>
        <w:t> </w:t>
      </w:r>
      <w:r>
        <w:rPr>
          <w:w w:val="105"/>
          <w:sz w:val="21"/>
        </w:rPr>
        <w:t>individuale</w:t>
      </w:r>
    </w:p>
    <w:p>
      <w:pPr>
        <w:pStyle w:val="ListParagraph"/>
        <w:numPr>
          <w:ilvl w:val="0"/>
          <w:numId w:val="1"/>
        </w:numPr>
        <w:tabs>
          <w:tab w:pos="844" w:val="left" w:leader="none"/>
          <w:tab w:pos="845" w:val="left" w:leader="none"/>
        </w:tabs>
        <w:spacing w:line="240" w:lineRule="auto" w:before="140" w:after="0"/>
        <w:ind w:left="844" w:right="0" w:hanging="361"/>
        <w:jc w:val="left"/>
        <w:rPr>
          <w:sz w:val="21"/>
        </w:rPr>
      </w:pPr>
      <w:r>
        <w:rPr>
          <w:w w:val="105"/>
          <w:sz w:val="21"/>
        </w:rPr>
        <w:t>rappresentante legale</w:t>
      </w:r>
      <w:r>
        <w:rPr>
          <w:spacing w:val="-2"/>
          <w:w w:val="105"/>
          <w:sz w:val="21"/>
        </w:rPr>
        <w:t> </w:t>
      </w:r>
      <w:r>
        <w:rPr>
          <w:w w:val="105"/>
          <w:sz w:val="21"/>
        </w:rPr>
        <w:t>della</w:t>
      </w:r>
    </w:p>
    <w:p>
      <w:pPr>
        <w:pStyle w:val="BodyText"/>
        <w:tabs>
          <w:tab w:pos="7940" w:val="left" w:leader="none"/>
        </w:tabs>
        <w:spacing w:before="140"/>
        <w:ind w:left="124"/>
      </w:pPr>
      <w:r>
        <w:rPr>
          <w:rFonts w:ascii="Times New Roman"/>
          <w:w w:val="102"/>
          <w:u w:val="single"/>
        </w:rPr>
        <w:t> </w:t>
      </w:r>
      <w:r>
        <w:rPr>
          <w:rFonts w:ascii="Times New Roman"/>
          <w:u w:val="single"/>
        </w:rPr>
        <w:tab/>
      </w:r>
      <w:r>
        <w:rPr>
          <w:w w:val="105"/>
        </w:rPr>
        <w:t>,   con   sede  </w:t>
      </w:r>
      <w:r>
        <w:rPr>
          <w:spacing w:val="30"/>
          <w:w w:val="105"/>
        </w:rPr>
        <w:t> </w:t>
      </w:r>
      <w:r>
        <w:rPr>
          <w:w w:val="105"/>
        </w:rPr>
        <w:t>legale</w:t>
      </w:r>
    </w:p>
    <w:p>
      <w:pPr>
        <w:pStyle w:val="BodyText"/>
        <w:spacing w:before="2"/>
        <w:rPr>
          <w:sz w:val="27"/>
        </w:rPr>
      </w:pPr>
      <w:r>
        <w:rPr/>
        <w:pict>
          <v:line style="position:absolute;mso-position-horizontal-relative:page;mso-position-vertical-relative:paragraph;z-index:-251658240;mso-wrap-distance-left:0;mso-wrap-distance-right:0" from="57.2239pt,18.93635pt" to="491.435164pt,18.93635pt" stroked="true" strokeweight=".701325pt" strokecolor="#000000">
            <v:stroke dashstyle="solid"/>
            <w10:wrap type="topAndBottom"/>
          </v:line>
        </w:pict>
      </w:r>
    </w:p>
    <w:p>
      <w:pPr>
        <w:pStyle w:val="BodyText"/>
        <w:tabs>
          <w:tab w:pos="1241" w:val="left" w:leader="none"/>
          <w:tab w:pos="9597" w:val="left" w:leader="none"/>
        </w:tabs>
        <w:spacing w:before="134"/>
        <w:ind w:left="124"/>
      </w:pPr>
      <w:r>
        <w:rPr>
          <w:w w:val="105"/>
        </w:rPr>
        <w:t>(Prov</w:t>
      </w:r>
      <w:r>
        <w:rPr>
          <w:w w:val="105"/>
          <w:u w:val="single"/>
        </w:rPr>
        <w:t> </w:t>
        <w:tab/>
      </w:r>
      <w:r>
        <w:rPr>
          <w:w w:val="105"/>
        </w:rPr>
        <w:t>)</w:t>
        <w:tab/>
        <w:t>in</w:t>
      </w:r>
    </w:p>
    <w:p>
      <w:pPr>
        <w:pStyle w:val="BodyText"/>
        <w:tabs>
          <w:tab w:pos="1201" w:val="left" w:leader="none"/>
          <w:tab w:pos="5126" w:val="left" w:leader="none"/>
          <w:tab w:pos="5977" w:val="left" w:leader="none"/>
          <w:tab w:pos="6489" w:val="left" w:leader="none"/>
          <w:tab w:pos="6570" w:val="left" w:leader="none"/>
          <w:tab w:pos="7701" w:val="left" w:leader="none"/>
          <w:tab w:pos="8320" w:val="left" w:leader="none"/>
          <w:tab w:pos="8544" w:val="left" w:leader="none"/>
          <w:tab w:pos="8645" w:val="left" w:leader="none"/>
          <w:tab w:pos="9166" w:val="left" w:leader="none"/>
          <w:tab w:pos="9451" w:val="left" w:leader="none"/>
        </w:tabs>
        <w:spacing w:line="376" w:lineRule="auto" w:before="147"/>
        <w:ind w:left="124" w:right="921"/>
      </w:pPr>
      <w:r>
        <w:rPr>
          <w:w w:val="105"/>
        </w:rPr>
        <w:t>via/Piazza</w:t>
      </w:r>
      <w:r>
        <w:rPr>
          <w:w w:val="105"/>
          <w:u w:val="single"/>
        </w:rPr>
        <w:t> </w:t>
        <w:tab/>
        <w:tab/>
      </w:r>
      <w:r>
        <w:rPr>
          <w:w w:val="105"/>
        </w:rPr>
        <w:t>n.</w:t>
      </w:r>
      <w:r>
        <w:rPr>
          <w:w w:val="105"/>
          <w:u w:val="single"/>
        </w:rPr>
        <w:t> </w:t>
        <w:tab/>
        <w:tab/>
      </w:r>
      <w:r>
        <w:rPr>
          <w:w w:val="105"/>
        </w:rPr>
        <w:t>(CAP</w:t>
      </w:r>
      <w:r>
        <w:rPr>
          <w:w w:val="105"/>
          <w:u w:val="single"/>
        </w:rPr>
        <w:t> </w:t>
        <w:tab/>
        <w:tab/>
      </w:r>
      <w:r>
        <w:rPr>
          <w:w w:val="105"/>
        </w:rPr>
        <w:t>),</w:t>
        <w:tab/>
        <w:tab/>
        <w:t>iscritta</w:t>
        <w:tab/>
      </w:r>
      <w:r>
        <w:rPr>
          <w:spacing w:val="-4"/>
          <w:w w:val="105"/>
        </w:rPr>
        <w:t>alla </w:t>
      </w:r>
      <w:r>
        <w:rPr>
          <w:w w:val="105"/>
        </w:rPr>
        <w:t>CCIAA</w:t>
        <w:tab/>
      </w:r>
      <w:r>
        <w:rPr>
          <w:w w:val="105"/>
          <w:u w:val="single"/>
        </w:rPr>
        <w:t> </w:t>
        <w:tab/>
        <w:tab/>
      </w:r>
      <w:r>
        <w:rPr>
          <w:w w:val="105"/>
        </w:rPr>
        <w:t>,</w:t>
        <w:tab/>
        <w:tab/>
        <w:t>partita</w:t>
        <w:tab/>
        <w:t>IVA</w:t>
        <w:tab/>
        <w:tab/>
        <w:t>/</w:t>
        <w:tab/>
        <w:tab/>
      </w:r>
      <w:r>
        <w:rPr>
          <w:spacing w:val="-3"/>
          <w:w w:val="105"/>
        </w:rPr>
        <w:t>Codice</w:t>
      </w:r>
    </w:p>
    <w:p>
      <w:pPr>
        <w:spacing w:after="0" w:line="376" w:lineRule="auto"/>
        <w:sectPr>
          <w:type w:val="continuous"/>
          <w:pgSz w:w="11910" w:h="16840"/>
          <w:pgMar w:top="1700" w:bottom="280" w:left="1020" w:right="200"/>
        </w:sectPr>
      </w:pPr>
    </w:p>
    <w:p>
      <w:pPr>
        <w:pStyle w:val="BodyText"/>
        <w:tabs>
          <w:tab w:pos="3213" w:val="left" w:leader="none"/>
        </w:tabs>
        <w:spacing w:before="2"/>
        <w:ind w:left="124"/>
        <w:rPr>
          <w:rFonts w:ascii="Times New Roman"/>
        </w:rPr>
      </w:pPr>
      <w:r>
        <w:rPr>
          <w:w w:val="105"/>
        </w:rPr>
        <w:t>Fiscale</w:t>
      </w:r>
      <w:r>
        <w:rPr>
          <w:rFonts w:ascii="Times New Roman"/>
          <w:w w:val="105"/>
          <w:u w:val="single"/>
        </w:rPr>
        <w:t> </w:t>
      </w:r>
      <w:r>
        <w:rPr>
          <w:rFonts w:ascii="Times New Roman"/>
          <w:u w:val="single"/>
        </w:rPr>
        <w:tab/>
      </w:r>
    </w:p>
    <w:p>
      <w:pPr>
        <w:pStyle w:val="BodyText"/>
        <w:tabs>
          <w:tab w:pos="1562" w:val="left" w:leader="none"/>
          <w:tab w:pos="3406" w:val="left" w:leader="none"/>
        </w:tabs>
        <w:spacing w:before="2"/>
        <w:ind w:left="124"/>
        <w:rPr>
          <w:rFonts w:ascii="Times New Roman"/>
        </w:rPr>
      </w:pPr>
      <w:r>
        <w:rPr/>
        <w:br w:type="column"/>
      </w:r>
      <w:r>
        <w:rPr>
          <w:w w:val="105"/>
        </w:rPr>
        <w:t>telefono</w:t>
      </w:r>
      <w:r>
        <w:rPr/>
        <w:tab/>
      </w:r>
      <w:r>
        <w:rPr>
          <w:rFonts w:ascii="Times New Roman"/>
          <w:w w:val="102"/>
          <w:u w:val="single"/>
        </w:rPr>
        <w:t> </w:t>
      </w:r>
      <w:r>
        <w:rPr>
          <w:rFonts w:ascii="Times New Roman"/>
          <w:u w:val="single"/>
        </w:rPr>
        <w:tab/>
      </w:r>
    </w:p>
    <w:p>
      <w:pPr>
        <w:pStyle w:val="BodyText"/>
        <w:tabs>
          <w:tab w:pos="2016" w:val="left" w:leader="none"/>
        </w:tabs>
        <w:spacing w:before="2"/>
        <w:ind w:left="124"/>
        <w:rPr>
          <w:rFonts w:ascii="Times New Roman"/>
        </w:rPr>
      </w:pPr>
      <w:r>
        <w:rPr/>
        <w:br w:type="column"/>
      </w:r>
      <w:r>
        <w:rPr>
          <w:w w:val="105"/>
        </w:rPr>
        <w:t>fax</w:t>
      </w:r>
      <w:r>
        <w:rPr>
          <w:rFonts w:ascii="Times New Roman"/>
          <w:w w:val="105"/>
          <w:u w:val="single"/>
        </w:rPr>
        <w:t> </w:t>
      </w:r>
      <w:r>
        <w:rPr>
          <w:rFonts w:ascii="Times New Roman"/>
          <w:u w:val="single"/>
        </w:rPr>
        <w:tab/>
      </w:r>
    </w:p>
    <w:p>
      <w:pPr>
        <w:spacing w:after="0"/>
        <w:rPr>
          <w:rFonts w:ascii="Times New Roman"/>
        </w:rPr>
        <w:sectPr>
          <w:type w:val="continuous"/>
          <w:pgSz w:w="11910" w:h="16840"/>
          <w:pgMar w:top="1700" w:bottom="280" w:left="1020" w:right="200"/>
          <w:cols w:num="3" w:equalWidth="0">
            <w:col w:w="3254" w:space="523"/>
            <w:col w:w="3447" w:space="523"/>
            <w:col w:w="2943"/>
          </w:cols>
        </w:sectPr>
      </w:pPr>
    </w:p>
    <w:p>
      <w:pPr>
        <w:pStyle w:val="BodyText"/>
        <w:tabs>
          <w:tab w:pos="2240" w:val="left" w:leader="none"/>
          <w:tab w:pos="4036" w:val="left" w:leader="none"/>
        </w:tabs>
        <w:spacing w:before="147"/>
        <w:ind w:left="124"/>
        <w:jc w:val="both"/>
        <w:rPr>
          <w:rFonts w:ascii="Times New Roman"/>
        </w:rPr>
      </w:pPr>
      <w:r>
        <w:rPr>
          <w:w w:val="105"/>
        </w:rPr>
        <w:t>email</w:t>
      </w:r>
      <w:r>
        <w:rPr>
          <w:w w:val="105"/>
          <w:u w:val="single"/>
        </w:rPr>
        <w:t> </w:t>
        <w:tab/>
      </w:r>
      <w:r>
        <w:rPr>
          <w:w w:val="105"/>
        </w:rPr>
        <w:t>PEC</w:t>
      </w:r>
      <w:r>
        <w:rPr>
          <w:rFonts w:ascii="Times New Roman"/>
          <w:w w:val="105"/>
          <w:u w:val="single"/>
        </w:rPr>
        <w:t> </w:t>
      </w:r>
      <w:r>
        <w:rPr>
          <w:rFonts w:ascii="Times New Roman"/>
          <w:u w:val="single"/>
        </w:rPr>
        <w:tab/>
      </w:r>
    </w:p>
    <w:p>
      <w:pPr>
        <w:pStyle w:val="ListParagraph"/>
        <w:numPr>
          <w:ilvl w:val="0"/>
          <w:numId w:val="2"/>
        </w:numPr>
        <w:tabs>
          <w:tab w:pos="845" w:val="left" w:leader="none"/>
          <w:tab w:pos="5448" w:val="left" w:leader="none"/>
          <w:tab w:pos="9359" w:val="left" w:leader="none"/>
        </w:tabs>
        <w:spacing w:line="376" w:lineRule="auto" w:before="146" w:after="0"/>
        <w:ind w:left="844" w:right="921" w:hanging="360"/>
        <w:jc w:val="both"/>
        <w:rPr>
          <w:sz w:val="21"/>
        </w:rPr>
      </w:pPr>
      <w:r>
        <w:rPr>
          <w:w w:val="105"/>
          <w:sz w:val="21"/>
        </w:rPr>
        <w:t>essendo stata ammessa ai benefici di cui al PSR Campania 2014-2020 – Bando Misura 6.2.1 – bando emanato  con</w:t>
      </w:r>
      <w:r>
        <w:rPr>
          <w:spacing w:val="12"/>
          <w:w w:val="105"/>
          <w:sz w:val="21"/>
        </w:rPr>
        <w:t> </w:t>
      </w:r>
      <w:r>
        <w:rPr>
          <w:w w:val="105"/>
          <w:sz w:val="21"/>
        </w:rPr>
        <w:t>decreto</w:t>
      </w:r>
      <w:r>
        <w:rPr>
          <w:spacing w:val="32"/>
          <w:w w:val="105"/>
          <w:sz w:val="21"/>
        </w:rPr>
        <w:t> </w:t>
      </w:r>
      <w:r>
        <w:rPr>
          <w:w w:val="105"/>
          <w:sz w:val="21"/>
        </w:rPr>
        <w:t>n.</w:t>
      </w:r>
      <w:r>
        <w:rPr>
          <w:w w:val="105"/>
          <w:sz w:val="21"/>
          <w:u w:val="single"/>
        </w:rPr>
        <w:t> </w:t>
        <w:tab/>
      </w:r>
      <w:r>
        <w:rPr>
          <w:w w:val="105"/>
          <w:sz w:val="21"/>
        </w:rPr>
        <w:t>del </w:t>
      </w:r>
      <w:r>
        <w:rPr>
          <w:w w:val="105"/>
          <w:sz w:val="21"/>
          <w:u w:val="single"/>
        </w:rPr>
        <w:t>     </w:t>
      </w:r>
      <w:r>
        <w:rPr>
          <w:spacing w:val="49"/>
          <w:w w:val="105"/>
          <w:sz w:val="21"/>
        </w:rPr>
        <w:t> </w:t>
      </w:r>
      <w:r>
        <w:rPr>
          <w:w w:val="105"/>
          <w:sz w:val="21"/>
        </w:rPr>
        <w:t>/</w:t>
      </w:r>
      <w:r>
        <w:rPr>
          <w:w w:val="105"/>
          <w:sz w:val="21"/>
          <w:u w:val="single"/>
        </w:rPr>
        <w:t>      </w:t>
      </w:r>
      <w:r>
        <w:rPr>
          <w:w w:val="105"/>
          <w:sz w:val="21"/>
        </w:rPr>
        <w:t> /</w:t>
      </w:r>
      <w:r>
        <w:rPr>
          <w:w w:val="105"/>
          <w:sz w:val="21"/>
          <w:u w:val="single"/>
        </w:rPr>
        <w:t>      </w:t>
      </w:r>
      <w:r>
        <w:rPr>
          <w:w w:val="105"/>
          <w:sz w:val="21"/>
        </w:rPr>
        <w:t>  e</w:t>
      </w:r>
      <w:r>
        <w:rPr>
          <w:spacing w:val="24"/>
          <w:w w:val="105"/>
          <w:sz w:val="21"/>
        </w:rPr>
        <w:t> </w:t>
      </w:r>
      <w:r>
        <w:rPr>
          <w:w w:val="105"/>
          <w:sz w:val="21"/>
        </w:rPr>
        <w:t>s.m.i.</w:t>
      </w:r>
      <w:r>
        <w:rPr>
          <w:spacing w:val="36"/>
          <w:w w:val="105"/>
          <w:sz w:val="21"/>
        </w:rPr>
        <w:t> </w:t>
      </w:r>
      <w:r>
        <w:rPr>
          <w:w w:val="105"/>
          <w:sz w:val="21"/>
        </w:rPr>
        <w:t>BURC</w:t>
      </w:r>
      <w:r>
        <w:rPr>
          <w:w w:val="105"/>
          <w:sz w:val="21"/>
          <w:u w:val="single"/>
        </w:rPr>
        <w:t> </w:t>
        <w:tab/>
      </w:r>
      <w:r>
        <w:rPr>
          <w:spacing w:val="-6"/>
          <w:w w:val="105"/>
          <w:sz w:val="21"/>
        </w:rPr>
        <w:t>che </w:t>
      </w:r>
      <w:r>
        <w:rPr>
          <w:w w:val="105"/>
          <w:sz w:val="21"/>
        </w:rPr>
        <w:t>concede aiuti soggetti alla regola del «de minimis» di cui al Regolamento (CE) n. 1407/2013 del 18 dicembre 2013 pubblicato nella GUUE L 352/1 del</w:t>
      </w:r>
      <w:r>
        <w:rPr>
          <w:spacing w:val="-14"/>
          <w:w w:val="105"/>
          <w:sz w:val="21"/>
        </w:rPr>
        <w:t> </w:t>
      </w:r>
      <w:r>
        <w:rPr>
          <w:w w:val="105"/>
          <w:sz w:val="21"/>
        </w:rPr>
        <w:t>24/12/2013;</w:t>
      </w:r>
    </w:p>
    <w:p>
      <w:pPr>
        <w:pStyle w:val="ListParagraph"/>
        <w:numPr>
          <w:ilvl w:val="0"/>
          <w:numId w:val="2"/>
        </w:numPr>
        <w:tabs>
          <w:tab w:pos="845" w:val="left" w:leader="none"/>
        </w:tabs>
        <w:spacing w:line="376" w:lineRule="auto" w:before="0" w:after="0"/>
        <w:ind w:left="844" w:right="989" w:hanging="360"/>
        <w:jc w:val="both"/>
        <w:rPr>
          <w:sz w:val="21"/>
        </w:rPr>
      </w:pPr>
      <w:r>
        <w:rPr>
          <w:w w:val="105"/>
          <w:sz w:val="21"/>
        </w:rPr>
        <w:t>ai sensi dell’art. 47 del D.P.R. 445/00, consapevole delle sanzioni penali, nel caso di dichiarazioni non</w:t>
      </w:r>
      <w:r>
        <w:rPr>
          <w:spacing w:val="-7"/>
          <w:w w:val="105"/>
          <w:sz w:val="21"/>
        </w:rPr>
        <w:t> </w:t>
      </w:r>
      <w:r>
        <w:rPr>
          <w:w w:val="105"/>
          <w:sz w:val="21"/>
        </w:rPr>
        <w:t>veritiere,</w:t>
      </w:r>
      <w:r>
        <w:rPr>
          <w:spacing w:val="-7"/>
          <w:w w:val="105"/>
          <w:sz w:val="21"/>
        </w:rPr>
        <w:t> </w:t>
      </w:r>
      <w:r>
        <w:rPr>
          <w:w w:val="105"/>
          <w:sz w:val="21"/>
        </w:rPr>
        <w:t>di</w:t>
      </w:r>
      <w:r>
        <w:rPr>
          <w:spacing w:val="-6"/>
          <w:w w:val="105"/>
          <w:sz w:val="21"/>
        </w:rPr>
        <w:t> </w:t>
      </w:r>
      <w:r>
        <w:rPr>
          <w:w w:val="105"/>
          <w:sz w:val="21"/>
        </w:rPr>
        <w:t>formazione</w:t>
      </w:r>
      <w:r>
        <w:rPr>
          <w:spacing w:val="-7"/>
          <w:w w:val="105"/>
          <w:sz w:val="21"/>
        </w:rPr>
        <w:t> </w:t>
      </w:r>
      <w:r>
        <w:rPr>
          <w:w w:val="105"/>
          <w:sz w:val="21"/>
        </w:rPr>
        <w:t>o</w:t>
      </w:r>
      <w:r>
        <w:rPr>
          <w:spacing w:val="-6"/>
          <w:w w:val="105"/>
          <w:sz w:val="21"/>
        </w:rPr>
        <w:t> </w:t>
      </w:r>
      <w:r>
        <w:rPr>
          <w:w w:val="105"/>
          <w:sz w:val="21"/>
        </w:rPr>
        <w:t>uso</w:t>
      </w:r>
      <w:r>
        <w:rPr>
          <w:spacing w:val="-6"/>
          <w:w w:val="105"/>
          <w:sz w:val="21"/>
        </w:rPr>
        <w:t> </w:t>
      </w:r>
      <w:r>
        <w:rPr>
          <w:w w:val="105"/>
          <w:sz w:val="21"/>
        </w:rPr>
        <w:t>di</w:t>
      </w:r>
      <w:r>
        <w:rPr>
          <w:spacing w:val="-7"/>
          <w:w w:val="105"/>
          <w:sz w:val="21"/>
        </w:rPr>
        <w:t> </w:t>
      </w:r>
      <w:r>
        <w:rPr>
          <w:w w:val="105"/>
          <w:sz w:val="21"/>
        </w:rPr>
        <w:t>atti</w:t>
      </w:r>
      <w:r>
        <w:rPr>
          <w:spacing w:val="-7"/>
          <w:w w:val="105"/>
          <w:sz w:val="21"/>
        </w:rPr>
        <w:t> </w:t>
      </w:r>
      <w:r>
        <w:rPr>
          <w:w w:val="105"/>
          <w:sz w:val="21"/>
        </w:rPr>
        <w:t>falsi,</w:t>
      </w:r>
      <w:r>
        <w:rPr>
          <w:spacing w:val="-7"/>
          <w:w w:val="105"/>
          <w:sz w:val="21"/>
        </w:rPr>
        <w:t> </w:t>
      </w:r>
      <w:r>
        <w:rPr>
          <w:w w:val="105"/>
          <w:sz w:val="21"/>
        </w:rPr>
        <w:t>richiamate</w:t>
      </w:r>
      <w:r>
        <w:rPr>
          <w:spacing w:val="-6"/>
          <w:w w:val="105"/>
          <w:sz w:val="21"/>
        </w:rPr>
        <w:t> </w:t>
      </w:r>
      <w:r>
        <w:rPr>
          <w:w w:val="105"/>
          <w:sz w:val="21"/>
        </w:rPr>
        <w:t>dall'articolo</w:t>
      </w:r>
      <w:r>
        <w:rPr>
          <w:spacing w:val="-6"/>
          <w:w w:val="105"/>
          <w:sz w:val="21"/>
        </w:rPr>
        <w:t> </w:t>
      </w:r>
      <w:r>
        <w:rPr>
          <w:w w:val="105"/>
          <w:sz w:val="21"/>
        </w:rPr>
        <w:t>76</w:t>
      </w:r>
      <w:r>
        <w:rPr>
          <w:spacing w:val="-6"/>
          <w:w w:val="105"/>
          <w:sz w:val="21"/>
        </w:rPr>
        <w:t> </w:t>
      </w:r>
      <w:r>
        <w:rPr>
          <w:w w:val="105"/>
          <w:sz w:val="21"/>
        </w:rPr>
        <w:t>del</w:t>
      </w:r>
      <w:r>
        <w:rPr>
          <w:spacing w:val="-7"/>
          <w:w w:val="105"/>
          <w:sz w:val="21"/>
        </w:rPr>
        <w:t> </w:t>
      </w:r>
      <w:r>
        <w:rPr>
          <w:w w:val="105"/>
          <w:sz w:val="21"/>
        </w:rPr>
        <w:t>D.P.R.</w:t>
      </w:r>
      <w:r>
        <w:rPr>
          <w:spacing w:val="-7"/>
          <w:w w:val="105"/>
          <w:sz w:val="21"/>
        </w:rPr>
        <w:t> </w:t>
      </w:r>
      <w:r>
        <w:rPr>
          <w:w w:val="105"/>
          <w:sz w:val="21"/>
        </w:rPr>
        <w:t>28</w:t>
      </w:r>
      <w:r>
        <w:rPr>
          <w:spacing w:val="-6"/>
          <w:w w:val="105"/>
          <w:sz w:val="21"/>
        </w:rPr>
        <w:t> </w:t>
      </w:r>
      <w:r>
        <w:rPr>
          <w:w w:val="105"/>
          <w:sz w:val="21"/>
        </w:rPr>
        <w:t>dicembre;</w:t>
      </w:r>
    </w:p>
    <w:p>
      <w:pPr>
        <w:pStyle w:val="ListParagraph"/>
        <w:numPr>
          <w:ilvl w:val="0"/>
          <w:numId w:val="2"/>
        </w:numPr>
        <w:tabs>
          <w:tab w:pos="845" w:val="left" w:leader="none"/>
        </w:tabs>
        <w:spacing w:line="376" w:lineRule="auto" w:before="0" w:after="0"/>
        <w:ind w:left="844" w:right="990" w:hanging="360"/>
        <w:jc w:val="both"/>
        <w:rPr>
          <w:sz w:val="21"/>
        </w:rPr>
      </w:pPr>
      <w:r>
        <w:rPr>
          <w:w w:val="105"/>
          <w:sz w:val="21"/>
        </w:rPr>
        <w:t>2000, n. 445, nonché della decadenza dai benefici conseguenti al provvedimento eventualmente emanato</w:t>
      </w:r>
      <w:r>
        <w:rPr>
          <w:spacing w:val="-9"/>
          <w:w w:val="105"/>
          <w:sz w:val="21"/>
        </w:rPr>
        <w:t> </w:t>
      </w:r>
      <w:r>
        <w:rPr>
          <w:w w:val="105"/>
          <w:sz w:val="21"/>
        </w:rPr>
        <w:t>sulla</w:t>
      </w:r>
      <w:r>
        <w:rPr>
          <w:spacing w:val="-9"/>
          <w:w w:val="105"/>
          <w:sz w:val="21"/>
        </w:rPr>
        <w:t> </w:t>
      </w:r>
      <w:r>
        <w:rPr>
          <w:w w:val="105"/>
          <w:sz w:val="21"/>
        </w:rPr>
        <w:t>base</w:t>
      </w:r>
      <w:r>
        <w:rPr>
          <w:spacing w:val="-9"/>
          <w:w w:val="105"/>
          <w:sz w:val="21"/>
        </w:rPr>
        <w:t> </w:t>
      </w:r>
      <w:r>
        <w:rPr>
          <w:w w:val="105"/>
          <w:sz w:val="21"/>
        </w:rPr>
        <w:t>della</w:t>
      </w:r>
      <w:r>
        <w:rPr>
          <w:spacing w:val="-8"/>
          <w:w w:val="105"/>
          <w:sz w:val="21"/>
        </w:rPr>
        <w:t> </w:t>
      </w:r>
      <w:r>
        <w:rPr>
          <w:w w:val="105"/>
          <w:sz w:val="21"/>
        </w:rPr>
        <w:t>dichiarazione</w:t>
      </w:r>
      <w:r>
        <w:rPr>
          <w:spacing w:val="-9"/>
          <w:w w:val="105"/>
          <w:sz w:val="21"/>
        </w:rPr>
        <w:t> </w:t>
      </w:r>
      <w:r>
        <w:rPr>
          <w:w w:val="105"/>
          <w:sz w:val="21"/>
        </w:rPr>
        <w:t>non</w:t>
      </w:r>
      <w:r>
        <w:rPr>
          <w:spacing w:val="-9"/>
          <w:w w:val="105"/>
          <w:sz w:val="21"/>
        </w:rPr>
        <w:t> </w:t>
      </w:r>
      <w:r>
        <w:rPr>
          <w:w w:val="105"/>
          <w:sz w:val="21"/>
        </w:rPr>
        <w:t>veritiera,</w:t>
      </w:r>
      <w:r>
        <w:rPr>
          <w:spacing w:val="-9"/>
          <w:w w:val="105"/>
          <w:sz w:val="21"/>
        </w:rPr>
        <w:t> </w:t>
      </w:r>
      <w:r>
        <w:rPr>
          <w:w w:val="105"/>
          <w:sz w:val="21"/>
        </w:rPr>
        <w:t>qualora</w:t>
      </w:r>
      <w:r>
        <w:rPr>
          <w:spacing w:val="-9"/>
          <w:w w:val="105"/>
          <w:sz w:val="21"/>
        </w:rPr>
        <w:t> </w:t>
      </w:r>
      <w:r>
        <w:rPr>
          <w:w w:val="105"/>
          <w:sz w:val="21"/>
        </w:rPr>
        <w:t>dal</w:t>
      </w:r>
      <w:r>
        <w:rPr>
          <w:spacing w:val="-9"/>
          <w:w w:val="105"/>
          <w:sz w:val="21"/>
        </w:rPr>
        <w:t> </w:t>
      </w:r>
      <w:r>
        <w:rPr>
          <w:w w:val="105"/>
          <w:sz w:val="21"/>
        </w:rPr>
        <w:t>controllo</w:t>
      </w:r>
      <w:r>
        <w:rPr>
          <w:spacing w:val="-9"/>
          <w:w w:val="105"/>
          <w:sz w:val="21"/>
        </w:rPr>
        <w:t> </w:t>
      </w:r>
      <w:r>
        <w:rPr>
          <w:w w:val="105"/>
          <w:sz w:val="21"/>
        </w:rPr>
        <w:t>effettuato</w:t>
      </w:r>
      <w:r>
        <w:rPr>
          <w:spacing w:val="-8"/>
          <w:w w:val="105"/>
          <w:sz w:val="21"/>
        </w:rPr>
        <w:t> </w:t>
      </w:r>
      <w:r>
        <w:rPr>
          <w:w w:val="105"/>
          <w:sz w:val="21"/>
        </w:rPr>
        <w:t>emerga</w:t>
      </w:r>
      <w:r>
        <w:rPr>
          <w:spacing w:val="-9"/>
          <w:w w:val="105"/>
          <w:sz w:val="21"/>
        </w:rPr>
        <w:t> </w:t>
      </w:r>
      <w:r>
        <w:rPr>
          <w:w w:val="105"/>
          <w:sz w:val="21"/>
        </w:rPr>
        <w:t>la</w:t>
      </w:r>
      <w:r>
        <w:rPr>
          <w:spacing w:val="-9"/>
          <w:w w:val="105"/>
          <w:sz w:val="21"/>
        </w:rPr>
        <w:t> </w:t>
      </w:r>
      <w:r>
        <w:rPr>
          <w:w w:val="105"/>
          <w:sz w:val="21"/>
        </w:rPr>
        <w:t>non veridicità</w:t>
      </w:r>
      <w:r>
        <w:rPr>
          <w:spacing w:val="-9"/>
          <w:w w:val="105"/>
          <w:sz w:val="21"/>
        </w:rPr>
        <w:t> </w:t>
      </w:r>
      <w:r>
        <w:rPr>
          <w:w w:val="105"/>
          <w:sz w:val="21"/>
        </w:rPr>
        <w:t>del</w:t>
      </w:r>
      <w:r>
        <w:rPr>
          <w:spacing w:val="-9"/>
          <w:w w:val="105"/>
          <w:sz w:val="21"/>
        </w:rPr>
        <w:t> </w:t>
      </w:r>
      <w:r>
        <w:rPr>
          <w:w w:val="105"/>
          <w:sz w:val="21"/>
        </w:rPr>
        <w:t>contenuto</w:t>
      </w:r>
      <w:r>
        <w:rPr>
          <w:spacing w:val="-8"/>
          <w:w w:val="105"/>
          <w:sz w:val="21"/>
        </w:rPr>
        <w:t> </w:t>
      </w:r>
      <w:r>
        <w:rPr>
          <w:w w:val="105"/>
          <w:sz w:val="21"/>
        </w:rPr>
        <w:t>di</w:t>
      </w:r>
      <w:r>
        <w:rPr>
          <w:spacing w:val="-9"/>
          <w:w w:val="105"/>
          <w:sz w:val="21"/>
        </w:rPr>
        <w:t> </w:t>
      </w:r>
      <w:r>
        <w:rPr>
          <w:w w:val="105"/>
          <w:sz w:val="21"/>
        </w:rPr>
        <w:t>taluna</w:t>
      </w:r>
      <w:r>
        <w:rPr>
          <w:spacing w:val="-8"/>
          <w:w w:val="105"/>
          <w:sz w:val="21"/>
        </w:rPr>
        <w:t> </w:t>
      </w:r>
      <w:r>
        <w:rPr>
          <w:w w:val="105"/>
          <w:sz w:val="21"/>
        </w:rPr>
        <w:t>delle</w:t>
      </w:r>
      <w:r>
        <w:rPr>
          <w:spacing w:val="-8"/>
          <w:w w:val="105"/>
          <w:sz w:val="21"/>
        </w:rPr>
        <w:t> </w:t>
      </w:r>
      <w:r>
        <w:rPr>
          <w:w w:val="105"/>
          <w:sz w:val="21"/>
        </w:rPr>
        <w:t>dichiarazioni</w:t>
      </w:r>
      <w:r>
        <w:rPr>
          <w:spacing w:val="-9"/>
          <w:w w:val="105"/>
          <w:sz w:val="21"/>
        </w:rPr>
        <w:t> </w:t>
      </w:r>
      <w:r>
        <w:rPr>
          <w:w w:val="105"/>
          <w:sz w:val="21"/>
        </w:rPr>
        <w:t>rese</w:t>
      </w:r>
      <w:r>
        <w:rPr>
          <w:spacing w:val="-8"/>
          <w:w w:val="105"/>
          <w:sz w:val="21"/>
        </w:rPr>
        <w:t> </w:t>
      </w:r>
      <w:r>
        <w:rPr>
          <w:w w:val="105"/>
          <w:sz w:val="21"/>
        </w:rPr>
        <w:t>(art.</w:t>
      </w:r>
      <w:r>
        <w:rPr>
          <w:spacing w:val="-9"/>
          <w:w w:val="105"/>
          <w:sz w:val="21"/>
        </w:rPr>
        <w:t> </w:t>
      </w:r>
      <w:r>
        <w:rPr>
          <w:w w:val="105"/>
          <w:sz w:val="21"/>
        </w:rPr>
        <w:t>75</w:t>
      </w:r>
      <w:r>
        <w:rPr>
          <w:spacing w:val="-8"/>
          <w:w w:val="105"/>
          <w:sz w:val="21"/>
        </w:rPr>
        <w:t> </w:t>
      </w:r>
      <w:r>
        <w:rPr>
          <w:w w:val="105"/>
          <w:sz w:val="21"/>
        </w:rPr>
        <w:t>D.P.R.</w:t>
      </w:r>
      <w:r>
        <w:rPr>
          <w:spacing w:val="-9"/>
          <w:w w:val="105"/>
          <w:sz w:val="21"/>
        </w:rPr>
        <w:t> </w:t>
      </w:r>
      <w:r>
        <w:rPr>
          <w:w w:val="105"/>
          <w:sz w:val="21"/>
        </w:rPr>
        <w:t>28</w:t>
      </w:r>
      <w:r>
        <w:rPr>
          <w:spacing w:val="-8"/>
          <w:w w:val="105"/>
          <w:sz w:val="21"/>
        </w:rPr>
        <w:t> </w:t>
      </w:r>
      <w:r>
        <w:rPr>
          <w:w w:val="105"/>
          <w:sz w:val="21"/>
        </w:rPr>
        <w:t>dicembre</w:t>
      </w:r>
      <w:r>
        <w:rPr>
          <w:spacing w:val="-8"/>
          <w:w w:val="105"/>
          <w:sz w:val="21"/>
        </w:rPr>
        <w:t> </w:t>
      </w:r>
      <w:r>
        <w:rPr>
          <w:w w:val="105"/>
          <w:sz w:val="21"/>
        </w:rPr>
        <w:t>2000,</w:t>
      </w:r>
      <w:r>
        <w:rPr>
          <w:spacing w:val="-9"/>
          <w:w w:val="105"/>
          <w:sz w:val="21"/>
        </w:rPr>
        <w:t> </w:t>
      </w:r>
      <w:r>
        <w:rPr>
          <w:w w:val="105"/>
          <w:sz w:val="21"/>
        </w:rPr>
        <w:t>n.</w:t>
      </w:r>
      <w:r>
        <w:rPr>
          <w:spacing w:val="-9"/>
          <w:w w:val="105"/>
          <w:sz w:val="21"/>
        </w:rPr>
        <w:t> </w:t>
      </w:r>
      <w:r>
        <w:rPr>
          <w:w w:val="105"/>
          <w:sz w:val="21"/>
        </w:rPr>
        <w:t>445);</w:t>
      </w:r>
    </w:p>
    <w:p>
      <w:pPr>
        <w:pStyle w:val="BodyText"/>
        <w:spacing w:before="4"/>
        <w:rPr>
          <w:sz w:val="23"/>
        </w:rPr>
      </w:pPr>
    </w:p>
    <w:p>
      <w:pPr>
        <w:spacing w:before="0"/>
        <w:ind w:left="2442" w:right="3241" w:firstLine="0"/>
        <w:jc w:val="center"/>
        <w:rPr>
          <w:rFonts w:ascii="Century Gothic"/>
          <w:b/>
          <w:sz w:val="19"/>
        </w:rPr>
      </w:pPr>
      <w:r>
        <w:rPr>
          <w:rFonts w:ascii="Century Gothic"/>
          <w:b/>
          <w:sz w:val="19"/>
        </w:rPr>
        <w:t>DICHIARA</w:t>
      </w:r>
    </w:p>
    <w:p>
      <w:pPr>
        <w:spacing w:after="0"/>
        <w:jc w:val="center"/>
        <w:rPr>
          <w:rFonts w:ascii="Century Gothic"/>
          <w:sz w:val="19"/>
        </w:rPr>
        <w:sectPr>
          <w:type w:val="continuous"/>
          <w:pgSz w:w="11910" w:h="16840"/>
          <w:pgMar w:top="1700" w:bottom="280" w:left="1020" w:right="200"/>
        </w:sectPr>
      </w:pPr>
    </w:p>
    <w:p>
      <w:pPr>
        <w:spacing w:before="15"/>
        <w:ind w:left="3453" w:right="0" w:firstLine="0"/>
        <w:jc w:val="left"/>
        <w:rPr>
          <w:rFonts w:ascii="Century Gothic" w:hAnsi="Century Gothic"/>
          <w:b/>
          <w:sz w:val="19"/>
        </w:rPr>
      </w:pPr>
      <w:r>
        <w:rPr>
          <w:rFonts w:ascii="Century Gothic" w:hAnsi="Century Gothic"/>
          <w:b/>
          <w:w w:val="105"/>
          <w:sz w:val="19"/>
        </w:rPr>
        <w:t>SEZIONE A «natura dell’impresa»</w:t>
      </w:r>
    </w:p>
    <w:p>
      <w:pPr>
        <w:pStyle w:val="ListParagraph"/>
        <w:numPr>
          <w:ilvl w:val="0"/>
          <w:numId w:val="3"/>
        </w:numPr>
        <w:tabs>
          <w:tab w:pos="845" w:val="left" w:leader="none"/>
        </w:tabs>
        <w:spacing w:line="338" w:lineRule="auto" w:before="123" w:after="0"/>
        <w:ind w:left="844" w:right="894" w:hanging="360"/>
        <w:jc w:val="left"/>
        <w:rPr>
          <w:sz w:val="21"/>
        </w:rPr>
      </w:pPr>
      <w:r>
        <w:rPr>
          <w:w w:val="105"/>
          <w:sz w:val="21"/>
        </w:rPr>
        <w:t>che l’impresa </w:t>
      </w:r>
      <w:r>
        <w:rPr>
          <w:b/>
          <w:w w:val="105"/>
          <w:sz w:val="21"/>
        </w:rPr>
        <w:t>non è collegata </w:t>
      </w:r>
      <w:r>
        <w:rPr>
          <w:w w:val="105"/>
          <w:sz w:val="21"/>
          <w:u w:val="single"/>
        </w:rPr>
        <w:t>(cd. «impresa </w:t>
      </w:r>
      <w:r>
        <w:rPr>
          <w:spacing w:val="2"/>
          <w:w w:val="105"/>
          <w:sz w:val="21"/>
          <w:u w:val="single"/>
        </w:rPr>
        <w:t>unica»</w:t>
      </w:r>
      <w:r>
        <w:rPr>
          <w:spacing w:val="2"/>
          <w:w w:val="105"/>
          <w:sz w:val="21"/>
        </w:rPr>
        <w:t> </w:t>
      </w:r>
      <w:r>
        <w:rPr>
          <w:w w:val="105"/>
          <w:sz w:val="21"/>
        </w:rPr>
        <w:t>come definita all’art.2, comma 2</w:t>
      </w:r>
      <w:r>
        <w:rPr>
          <w:spacing w:val="49"/>
          <w:w w:val="105"/>
          <w:sz w:val="21"/>
        </w:rPr>
        <w:t> </w:t>
      </w:r>
      <w:r>
        <w:rPr>
          <w:spacing w:val="-31"/>
          <w:w w:val="105"/>
          <w:sz w:val="21"/>
        </w:rPr>
        <w:t>del </w:t>
      </w:r>
      <w:r>
        <w:rPr>
          <w:w w:val="105"/>
          <w:sz w:val="21"/>
        </w:rPr>
        <w:t>Regolamento (UE) n. 1407/2013 del 18 dicembre</w:t>
      </w:r>
      <w:r>
        <w:rPr>
          <w:spacing w:val="-18"/>
          <w:w w:val="105"/>
          <w:sz w:val="21"/>
        </w:rPr>
        <w:t> </w:t>
      </w:r>
      <w:r>
        <w:rPr>
          <w:w w:val="105"/>
          <w:sz w:val="21"/>
        </w:rPr>
        <w:t>2013);</w:t>
      </w:r>
    </w:p>
    <w:p>
      <w:pPr>
        <w:pStyle w:val="ListParagraph"/>
        <w:numPr>
          <w:ilvl w:val="0"/>
          <w:numId w:val="3"/>
        </w:numPr>
        <w:tabs>
          <w:tab w:pos="893" w:val="left" w:leader="none"/>
          <w:tab w:pos="894" w:val="left" w:leader="none"/>
          <w:tab w:pos="1758" w:val="left" w:leader="none"/>
          <w:tab w:pos="5560" w:val="left" w:leader="none"/>
        </w:tabs>
        <w:spacing w:line="338" w:lineRule="auto" w:before="33" w:after="0"/>
        <w:ind w:left="844" w:right="895" w:hanging="360"/>
        <w:jc w:val="left"/>
        <w:rPr>
          <w:i/>
          <w:sz w:val="21"/>
        </w:rPr>
      </w:pPr>
      <w:r>
        <w:rPr/>
        <w:tab/>
      </w:r>
      <w:r>
        <w:rPr>
          <w:w w:val="105"/>
          <w:sz w:val="21"/>
        </w:rPr>
        <w:t>che l’impresa </w:t>
      </w:r>
      <w:r>
        <w:rPr>
          <w:b/>
          <w:w w:val="105"/>
          <w:sz w:val="21"/>
        </w:rPr>
        <w:t>è collegata </w:t>
      </w:r>
      <w:r>
        <w:rPr>
          <w:w w:val="105"/>
          <w:sz w:val="21"/>
        </w:rPr>
        <w:t>(cd. «i</w:t>
      </w:r>
      <w:r>
        <w:rPr>
          <w:w w:val="105"/>
          <w:sz w:val="21"/>
          <w:u w:val="single"/>
        </w:rPr>
        <w:t>mpresa unica»</w:t>
      </w:r>
      <w:r>
        <w:rPr>
          <w:w w:val="105"/>
          <w:sz w:val="21"/>
        </w:rPr>
        <w:t> come definita all’art.2,  </w:t>
      </w:r>
      <w:r>
        <w:rPr>
          <w:spacing w:val="2"/>
          <w:w w:val="105"/>
          <w:sz w:val="21"/>
        </w:rPr>
        <w:t>comma </w:t>
      </w:r>
      <w:r>
        <w:rPr>
          <w:w w:val="105"/>
          <w:sz w:val="21"/>
        </w:rPr>
        <w:t>2  Regolamento  (UE) </w:t>
      </w:r>
      <w:r>
        <w:rPr>
          <w:spacing w:val="21"/>
          <w:w w:val="105"/>
          <w:sz w:val="21"/>
        </w:rPr>
        <w:t> </w:t>
      </w:r>
      <w:r>
        <w:rPr>
          <w:w w:val="105"/>
          <w:sz w:val="21"/>
        </w:rPr>
        <w:t>n.</w:t>
        <w:tab/>
        <w:t>1407/2013    del   18</w:t>
      </w:r>
      <w:r>
        <w:rPr>
          <w:spacing w:val="27"/>
          <w:w w:val="105"/>
          <w:sz w:val="21"/>
        </w:rPr>
        <w:t> </w:t>
      </w:r>
      <w:r>
        <w:rPr>
          <w:w w:val="105"/>
          <w:sz w:val="21"/>
        </w:rPr>
        <w:t>dicembre  2013) </w:t>
      </w:r>
      <w:r>
        <w:rPr>
          <w:spacing w:val="17"/>
          <w:w w:val="105"/>
          <w:sz w:val="21"/>
        </w:rPr>
        <w:t> </w:t>
      </w:r>
      <w:r>
        <w:rPr>
          <w:w w:val="105"/>
          <w:sz w:val="21"/>
        </w:rPr>
        <w:t>-</w:t>
        <w:tab/>
      </w:r>
      <w:r>
        <w:rPr>
          <w:i/>
          <w:w w:val="105"/>
          <w:sz w:val="21"/>
        </w:rPr>
        <w:t>in questo caso la sezione B</w:t>
      </w:r>
      <w:r>
        <w:rPr>
          <w:i/>
          <w:spacing w:val="34"/>
          <w:w w:val="105"/>
          <w:sz w:val="21"/>
        </w:rPr>
        <w:t> </w:t>
      </w:r>
      <w:r>
        <w:rPr>
          <w:i/>
          <w:w w:val="105"/>
          <w:sz w:val="21"/>
        </w:rPr>
        <w:t>della presente</w:t>
      </w:r>
    </w:p>
    <w:p>
      <w:pPr>
        <w:spacing w:line="376" w:lineRule="auto" w:before="43"/>
        <w:ind w:left="844" w:right="1434" w:firstLine="0"/>
        <w:jc w:val="left"/>
        <w:rPr>
          <w:i/>
          <w:sz w:val="21"/>
        </w:rPr>
      </w:pPr>
      <w:r>
        <w:rPr>
          <w:i/>
          <w:w w:val="105"/>
          <w:sz w:val="21"/>
        </w:rPr>
        <w:t>dichiarazione va compilata in modo da contenere tutti i dati delle imprese tra cui  esiste  la</w:t>
      </w:r>
      <w:r>
        <w:rPr>
          <w:i/>
          <w:spacing w:val="49"/>
          <w:w w:val="105"/>
          <w:sz w:val="21"/>
        </w:rPr>
        <w:t> </w:t>
      </w:r>
      <w:r>
        <w:rPr>
          <w:i/>
          <w:w w:val="105"/>
          <w:sz w:val="21"/>
        </w:rPr>
        <w:t>relazione</w:t>
      </w:r>
    </w:p>
    <w:p>
      <w:pPr>
        <w:pStyle w:val="BodyText"/>
        <w:spacing w:before="4"/>
        <w:rPr>
          <w:i/>
          <w:sz w:val="30"/>
        </w:rPr>
      </w:pPr>
    </w:p>
    <w:p>
      <w:pPr>
        <w:spacing w:before="0"/>
        <w:ind w:left="3335" w:right="0" w:firstLine="0"/>
        <w:jc w:val="left"/>
        <w:rPr>
          <w:rFonts w:ascii="Century Gothic" w:hAnsi="Century Gothic"/>
          <w:b/>
          <w:sz w:val="19"/>
        </w:rPr>
      </w:pPr>
      <w:r>
        <w:rPr>
          <w:rFonts w:ascii="Century Gothic" w:hAnsi="Century Gothic"/>
          <w:b/>
          <w:w w:val="105"/>
          <w:sz w:val="19"/>
        </w:rPr>
        <w:t>SEZIONE B «rispetto del massimale»</w:t>
      </w:r>
    </w:p>
    <w:p>
      <w:pPr>
        <w:pStyle w:val="ListParagraph"/>
        <w:numPr>
          <w:ilvl w:val="0"/>
          <w:numId w:val="2"/>
        </w:numPr>
        <w:tabs>
          <w:tab w:pos="844" w:val="left" w:leader="none"/>
          <w:tab w:pos="845" w:val="left" w:leader="none"/>
        </w:tabs>
        <w:spacing w:line="376" w:lineRule="auto" w:before="133" w:after="0"/>
        <w:ind w:left="844" w:right="1035" w:hanging="360"/>
        <w:jc w:val="left"/>
        <w:rPr>
          <w:i/>
          <w:sz w:val="21"/>
        </w:rPr>
      </w:pPr>
      <w:r>
        <w:rPr>
          <w:i/>
          <w:w w:val="105"/>
          <w:sz w:val="21"/>
        </w:rPr>
        <w:t>Se l’impresa </w:t>
      </w:r>
      <w:r>
        <w:rPr>
          <w:i/>
          <w:w w:val="105"/>
          <w:sz w:val="21"/>
          <w:u w:val="single"/>
        </w:rPr>
        <w:t>non</w:t>
      </w:r>
      <w:r>
        <w:rPr>
          <w:i/>
          <w:w w:val="105"/>
          <w:sz w:val="21"/>
        </w:rPr>
        <w:t> ha ricevuto nell’esercizio finanziario corrente e nei due esercizi finanziari </w:t>
      </w:r>
      <w:r>
        <w:rPr>
          <w:i/>
          <w:w w:val="105"/>
          <w:sz w:val="21"/>
        </w:rPr>
        <w:t>precedenti aiuti «de minimis» barrare la lettera</w:t>
      </w:r>
      <w:r>
        <w:rPr>
          <w:i/>
          <w:spacing w:val="8"/>
          <w:w w:val="105"/>
          <w:sz w:val="21"/>
        </w:rPr>
        <w:t> </w:t>
      </w:r>
      <w:r>
        <w:rPr>
          <w:i/>
          <w:w w:val="105"/>
          <w:sz w:val="21"/>
        </w:rPr>
        <w:t>a);</w:t>
      </w:r>
    </w:p>
    <w:p>
      <w:pPr>
        <w:pStyle w:val="ListParagraph"/>
        <w:numPr>
          <w:ilvl w:val="0"/>
          <w:numId w:val="2"/>
        </w:numPr>
        <w:tabs>
          <w:tab w:pos="844" w:val="left" w:leader="none"/>
          <w:tab w:pos="845" w:val="left" w:leader="none"/>
        </w:tabs>
        <w:spacing w:line="376" w:lineRule="auto" w:before="1" w:after="0"/>
        <w:ind w:left="844" w:right="922" w:hanging="360"/>
        <w:jc w:val="left"/>
        <w:rPr>
          <w:i/>
          <w:sz w:val="21"/>
        </w:rPr>
      </w:pPr>
      <w:r>
        <w:rPr>
          <w:i/>
          <w:w w:val="105"/>
          <w:sz w:val="21"/>
        </w:rPr>
        <w:t>se l’impresa e ciascuna delle sue</w:t>
      </w:r>
      <w:r>
        <w:rPr>
          <w:i/>
          <w:spacing w:val="49"/>
          <w:w w:val="105"/>
          <w:sz w:val="21"/>
        </w:rPr>
        <w:t> </w:t>
      </w:r>
      <w:r>
        <w:rPr>
          <w:i/>
          <w:w w:val="105"/>
          <w:sz w:val="21"/>
        </w:rPr>
        <w:t>eventuali  collegate  ha  ricevuto  nell’esercizio  finanziario </w:t>
      </w:r>
      <w:r>
        <w:rPr>
          <w:i/>
          <w:w w:val="105"/>
          <w:sz w:val="21"/>
        </w:rPr>
        <w:t>corrente e nei</w:t>
      </w:r>
      <w:r>
        <w:rPr>
          <w:i/>
          <w:spacing w:val="-9"/>
          <w:w w:val="105"/>
          <w:sz w:val="21"/>
        </w:rPr>
        <w:t> </w:t>
      </w:r>
      <w:r>
        <w:rPr>
          <w:i/>
          <w:w w:val="105"/>
          <w:sz w:val="21"/>
        </w:rPr>
        <w:t>due</w:t>
      </w:r>
    </w:p>
    <w:p>
      <w:pPr>
        <w:pStyle w:val="ListParagraph"/>
        <w:numPr>
          <w:ilvl w:val="0"/>
          <w:numId w:val="2"/>
        </w:numPr>
        <w:tabs>
          <w:tab w:pos="844" w:val="left" w:leader="none"/>
          <w:tab w:pos="845" w:val="left" w:leader="none"/>
        </w:tabs>
        <w:spacing w:line="240" w:lineRule="auto" w:before="2" w:after="0"/>
        <w:ind w:left="844" w:right="0" w:hanging="361"/>
        <w:jc w:val="left"/>
        <w:rPr>
          <w:i/>
          <w:sz w:val="21"/>
        </w:rPr>
      </w:pPr>
      <w:r>
        <w:rPr>
          <w:i/>
          <w:w w:val="105"/>
          <w:sz w:val="21"/>
        </w:rPr>
        <w:t>esercizi</w:t>
      </w:r>
      <w:r>
        <w:rPr>
          <w:i/>
          <w:spacing w:val="-7"/>
          <w:w w:val="105"/>
          <w:sz w:val="21"/>
        </w:rPr>
        <w:t> </w:t>
      </w:r>
      <w:r>
        <w:rPr>
          <w:i/>
          <w:w w:val="105"/>
          <w:sz w:val="21"/>
        </w:rPr>
        <w:t>finanziari</w:t>
      </w:r>
      <w:r>
        <w:rPr>
          <w:i/>
          <w:spacing w:val="-8"/>
          <w:w w:val="105"/>
          <w:sz w:val="21"/>
        </w:rPr>
        <w:t> </w:t>
      </w:r>
      <w:r>
        <w:rPr>
          <w:i/>
          <w:w w:val="105"/>
          <w:sz w:val="21"/>
        </w:rPr>
        <w:t>precedenti</w:t>
      </w:r>
      <w:r>
        <w:rPr>
          <w:i/>
          <w:spacing w:val="-8"/>
          <w:w w:val="105"/>
          <w:sz w:val="21"/>
        </w:rPr>
        <w:t> </w:t>
      </w:r>
      <w:r>
        <w:rPr>
          <w:i/>
          <w:w w:val="105"/>
          <w:sz w:val="21"/>
        </w:rPr>
        <w:t>aiuti</w:t>
      </w:r>
      <w:r>
        <w:rPr>
          <w:i/>
          <w:spacing w:val="-4"/>
          <w:w w:val="105"/>
          <w:sz w:val="21"/>
        </w:rPr>
        <w:t> </w:t>
      </w:r>
      <w:r>
        <w:rPr>
          <w:i/>
          <w:w w:val="105"/>
          <w:sz w:val="21"/>
        </w:rPr>
        <w:t>«de</w:t>
      </w:r>
      <w:r>
        <w:rPr>
          <w:i/>
          <w:spacing w:val="-1"/>
          <w:w w:val="105"/>
          <w:sz w:val="21"/>
        </w:rPr>
        <w:t> </w:t>
      </w:r>
      <w:r>
        <w:rPr>
          <w:i/>
          <w:w w:val="105"/>
          <w:sz w:val="21"/>
        </w:rPr>
        <w:t>minimis»</w:t>
      </w:r>
      <w:r>
        <w:rPr>
          <w:i/>
          <w:spacing w:val="-4"/>
          <w:w w:val="105"/>
          <w:sz w:val="21"/>
        </w:rPr>
        <w:t> </w:t>
      </w:r>
      <w:r>
        <w:rPr>
          <w:i/>
          <w:w w:val="105"/>
          <w:sz w:val="21"/>
        </w:rPr>
        <w:t>barrare</w:t>
      </w:r>
      <w:r>
        <w:rPr>
          <w:i/>
          <w:spacing w:val="-4"/>
          <w:w w:val="105"/>
          <w:sz w:val="21"/>
        </w:rPr>
        <w:t> </w:t>
      </w:r>
      <w:r>
        <w:rPr>
          <w:i/>
          <w:w w:val="105"/>
          <w:sz w:val="21"/>
        </w:rPr>
        <w:t>e</w:t>
      </w:r>
      <w:r>
        <w:rPr>
          <w:i/>
          <w:spacing w:val="1"/>
          <w:w w:val="105"/>
          <w:sz w:val="21"/>
        </w:rPr>
        <w:t> </w:t>
      </w:r>
      <w:r>
        <w:rPr>
          <w:i/>
          <w:w w:val="105"/>
          <w:sz w:val="21"/>
        </w:rPr>
        <w:t>compilare</w:t>
      </w:r>
      <w:r>
        <w:rPr>
          <w:i/>
          <w:spacing w:val="-7"/>
          <w:w w:val="105"/>
          <w:sz w:val="21"/>
        </w:rPr>
        <w:t> </w:t>
      </w:r>
      <w:r>
        <w:rPr>
          <w:i/>
          <w:w w:val="105"/>
          <w:sz w:val="21"/>
        </w:rPr>
        <w:t>la</w:t>
      </w:r>
      <w:r>
        <w:rPr>
          <w:i/>
          <w:spacing w:val="1"/>
          <w:w w:val="105"/>
          <w:sz w:val="21"/>
        </w:rPr>
        <w:t> </w:t>
      </w:r>
      <w:r>
        <w:rPr>
          <w:i/>
          <w:w w:val="105"/>
          <w:sz w:val="21"/>
        </w:rPr>
        <w:t>lettera</w:t>
      </w:r>
      <w:r>
        <w:rPr>
          <w:i/>
          <w:spacing w:val="-2"/>
          <w:w w:val="105"/>
          <w:sz w:val="21"/>
        </w:rPr>
        <w:t> </w:t>
      </w:r>
      <w:r>
        <w:rPr>
          <w:i/>
          <w:w w:val="105"/>
          <w:sz w:val="21"/>
        </w:rPr>
        <w:t>b);</w:t>
      </w:r>
    </w:p>
    <w:p>
      <w:pPr>
        <w:pStyle w:val="ListParagraph"/>
        <w:numPr>
          <w:ilvl w:val="0"/>
          <w:numId w:val="2"/>
        </w:numPr>
        <w:tabs>
          <w:tab w:pos="844" w:val="left" w:leader="none"/>
          <w:tab w:pos="845" w:val="left" w:leader="none"/>
        </w:tabs>
        <w:spacing w:line="376" w:lineRule="auto" w:before="147" w:after="0"/>
        <w:ind w:left="844" w:right="895" w:hanging="360"/>
        <w:jc w:val="left"/>
        <w:rPr>
          <w:i/>
          <w:sz w:val="21"/>
        </w:rPr>
      </w:pPr>
      <w:r>
        <w:rPr>
          <w:i/>
          <w:w w:val="105"/>
          <w:sz w:val="21"/>
        </w:rPr>
        <w:t>se l’impresa è stata coinvolta in processi di acquisizione/fusione e ha ricevuto nell’esercizio </w:t>
      </w:r>
      <w:r>
        <w:rPr>
          <w:i/>
          <w:w w:val="105"/>
          <w:sz w:val="21"/>
        </w:rPr>
        <w:t>finanziario</w:t>
      </w:r>
      <w:r>
        <w:rPr>
          <w:i/>
          <w:spacing w:val="-7"/>
          <w:w w:val="105"/>
          <w:sz w:val="21"/>
        </w:rPr>
        <w:t> </w:t>
      </w:r>
      <w:r>
        <w:rPr>
          <w:i/>
          <w:w w:val="105"/>
          <w:sz w:val="21"/>
        </w:rPr>
        <w:t>corrente</w:t>
      </w:r>
      <w:r>
        <w:rPr>
          <w:i/>
          <w:spacing w:val="-6"/>
          <w:w w:val="105"/>
          <w:sz w:val="21"/>
        </w:rPr>
        <w:t> </w:t>
      </w:r>
      <w:r>
        <w:rPr>
          <w:i/>
          <w:w w:val="105"/>
          <w:sz w:val="21"/>
        </w:rPr>
        <w:t>e</w:t>
      </w:r>
      <w:r>
        <w:rPr>
          <w:i/>
          <w:spacing w:val="-3"/>
          <w:w w:val="105"/>
          <w:sz w:val="21"/>
        </w:rPr>
        <w:t> </w:t>
      </w:r>
      <w:r>
        <w:rPr>
          <w:i/>
          <w:w w:val="105"/>
          <w:sz w:val="21"/>
        </w:rPr>
        <w:t>nei</w:t>
      </w:r>
      <w:r>
        <w:rPr>
          <w:i/>
          <w:spacing w:val="-5"/>
          <w:w w:val="105"/>
          <w:sz w:val="21"/>
        </w:rPr>
        <w:t> </w:t>
      </w:r>
      <w:r>
        <w:rPr>
          <w:i/>
          <w:w w:val="105"/>
          <w:sz w:val="21"/>
        </w:rPr>
        <w:t>due</w:t>
      </w:r>
      <w:r>
        <w:rPr>
          <w:i/>
          <w:spacing w:val="-4"/>
          <w:w w:val="105"/>
          <w:sz w:val="21"/>
        </w:rPr>
        <w:t> </w:t>
      </w:r>
      <w:r>
        <w:rPr>
          <w:i/>
          <w:w w:val="105"/>
          <w:sz w:val="21"/>
        </w:rPr>
        <w:t>esercizi</w:t>
      </w:r>
      <w:r>
        <w:rPr>
          <w:i/>
          <w:spacing w:val="-9"/>
          <w:w w:val="105"/>
          <w:sz w:val="21"/>
        </w:rPr>
        <w:t> </w:t>
      </w:r>
      <w:r>
        <w:rPr>
          <w:i/>
          <w:w w:val="105"/>
          <w:sz w:val="21"/>
        </w:rPr>
        <w:t>finanziari</w:t>
      </w:r>
      <w:r>
        <w:rPr>
          <w:i/>
          <w:spacing w:val="-10"/>
          <w:w w:val="105"/>
          <w:sz w:val="21"/>
        </w:rPr>
        <w:t> </w:t>
      </w:r>
      <w:r>
        <w:rPr>
          <w:i/>
          <w:w w:val="105"/>
          <w:sz w:val="21"/>
        </w:rPr>
        <w:t>aiuti</w:t>
      </w:r>
      <w:r>
        <w:rPr>
          <w:i/>
          <w:spacing w:val="-7"/>
          <w:w w:val="105"/>
          <w:sz w:val="21"/>
        </w:rPr>
        <w:t> </w:t>
      </w:r>
      <w:r>
        <w:rPr>
          <w:i/>
          <w:w w:val="105"/>
          <w:sz w:val="21"/>
        </w:rPr>
        <w:t>«de</w:t>
      </w:r>
      <w:r>
        <w:rPr>
          <w:i/>
          <w:spacing w:val="-5"/>
          <w:w w:val="105"/>
          <w:sz w:val="21"/>
        </w:rPr>
        <w:t> </w:t>
      </w:r>
      <w:r>
        <w:rPr>
          <w:i/>
          <w:w w:val="105"/>
          <w:sz w:val="21"/>
        </w:rPr>
        <w:t>minimis»,</w:t>
      </w:r>
      <w:r>
        <w:rPr>
          <w:i/>
          <w:spacing w:val="-9"/>
          <w:w w:val="105"/>
          <w:sz w:val="21"/>
        </w:rPr>
        <w:t> </w:t>
      </w:r>
      <w:r>
        <w:rPr>
          <w:i/>
          <w:w w:val="105"/>
          <w:sz w:val="21"/>
        </w:rPr>
        <w:t>barrare</w:t>
      </w:r>
      <w:r>
        <w:rPr>
          <w:i/>
          <w:spacing w:val="-7"/>
          <w:w w:val="105"/>
          <w:sz w:val="21"/>
        </w:rPr>
        <w:t> </w:t>
      </w:r>
      <w:r>
        <w:rPr>
          <w:i/>
          <w:w w:val="105"/>
          <w:sz w:val="21"/>
        </w:rPr>
        <w:t>e</w:t>
      </w:r>
      <w:r>
        <w:rPr>
          <w:i/>
          <w:spacing w:val="-3"/>
          <w:w w:val="105"/>
          <w:sz w:val="21"/>
        </w:rPr>
        <w:t> </w:t>
      </w:r>
      <w:r>
        <w:rPr>
          <w:i/>
          <w:w w:val="105"/>
          <w:sz w:val="21"/>
        </w:rPr>
        <w:t>compilare</w:t>
      </w:r>
      <w:r>
        <w:rPr>
          <w:i/>
          <w:spacing w:val="-8"/>
          <w:w w:val="105"/>
          <w:sz w:val="21"/>
        </w:rPr>
        <w:t> </w:t>
      </w:r>
      <w:r>
        <w:rPr>
          <w:i/>
          <w:w w:val="105"/>
          <w:sz w:val="21"/>
        </w:rPr>
        <w:t>la</w:t>
      </w:r>
      <w:r>
        <w:rPr>
          <w:i/>
          <w:spacing w:val="-3"/>
          <w:w w:val="105"/>
          <w:sz w:val="21"/>
        </w:rPr>
        <w:t> </w:t>
      </w:r>
      <w:r>
        <w:rPr>
          <w:i/>
          <w:w w:val="105"/>
          <w:sz w:val="21"/>
        </w:rPr>
        <w:t>lettera</w:t>
      </w:r>
      <w:r>
        <w:rPr>
          <w:i/>
          <w:spacing w:val="-5"/>
          <w:w w:val="105"/>
          <w:sz w:val="21"/>
        </w:rPr>
        <w:t> </w:t>
      </w:r>
      <w:r>
        <w:rPr>
          <w:i/>
          <w:w w:val="105"/>
          <w:sz w:val="21"/>
        </w:rPr>
        <w:t>c);</w:t>
      </w:r>
    </w:p>
    <w:p>
      <w:pPr>
        <w:pStyle w:val="ListParagraph"/>
        <w:numPr>
          <w:ilvl w:val="0"/>
          <w:numId w:val="2"/>
        </w:numPr>
        <w:tabs>
          <w:tab w:pos="844" w:val="left" w:leader="none"/>
          <w:tab w:pos="845" w:val="left" w:leader="none"/>
        </w:tabs>
        <w:spacing w:line="376" w:lineRule="auto" w:before="1" w:after="0"/>
        <w:ind w:left="844" w:right="893" w:hanging="360"/>
        <w:jc w:val="left"/>
        <w:rPr>
          <w:i/>
          <w:sz w:val="21"/>
        </w:rPr>
      </w:pPr>
      <w:r>
        <w:rPr>
          <w:i/>
          <w:w w:val="105"/>
          <w:sz w:val="21"/>
        </w:rPr>
        <w:t>se l’impresa, coinvolta in processi di scissione, ha ricevuto nell’esercizio finanziario corrente e nei </w:t>
      </w:r>
      <w:r>
        <w:rPr>
          <w:i/>
          <w:w w:val="105"/>
          <w:sz w:val="21"/>
        </w:rPr>
        <w:t>due esercizi finanziari precedenti aiuti «de minimis», barrare e compilare la lettera</w:t>
      </w:r>
      <w:r>
        <w:rPr>
          <w:i/>
          <w:spacing w:val="-33"/>
          <w:w w:val="105"/>
          <w:sz w:val="21"/>
        </w:rPr>
        <w:t> </w:t>
      </w:r>
      <w:r>
        <w:rPr>
          <w:i/>
          <w:w w:val="105"/>
          <w:sz w:val="21"/>
        </w:rPr>
        <w:t>d).</w:t>
      </w:r>
    </w:p>
    <w:p>
      <w:pPr>
        <w:pStyle w:val="BodyText"/>
        <w:spacing w:before="9"/>
        <w:rPr>
          <w:i/>
          <w:sz w:val="32"/>
        </w:rPr>
      </w:pPr>
    </w:p>
    <w:p>
      <w:pPr>
        <w:pStyle w:val="ListParagraph"/>
        <w:numPr>
          <w:ilvl w:val="0"/>
          <w:numId w:val="4"/>
        </w:numPr>
        <w:tabs>
          <w:tab w:pos="830" w:val="left" w:leader="none"/>
        </w:tabs>
        <w:spacing w:line="376" w:lineRule="auto" w:before="0" w:after="0"/>
        <w:ind w:left="803" w:right="892" w:hanging="398"/>
        <w:jc w:val="both"/>
        <w:rPr>
          <w:sz w:val="21"/>
        </w:rPr>
      </w:pPr>
      <w:r>
        <w:rPr>
          <w:w w:val="105"/>
          <w:sz w:val="21"/>
        </w:rPr>
        <w:t>Che l’impresa rappresentata </w:t>
      </w:r>
      <w:r>
        <w:rPr>
          <w:b/>
          <w:w w:val="105"/>
          <w:sz w:val="21"/>
        </w:rPr>
        <w:t>non </w:t>
      </w:r>
      <w:r>
        <w:rPr>
          <w:w w:val="105"/>
          <w:sz w:val="21"/>
        </w:rPr>
        <w:t>ha ricevuto, nell’esercizio</w:t>
      </w:r>
      <w:r>
        <w:rPr>
          <w:spacing w:val="49"/>
          <w:w w:val="105"/>
          <w:sz w:val="21"/>
        </w:rPr>
        <w:t> </w:t>
      </w:r>
      <w:r>
        <w:rPr>
          <w:w w:val="105"/>
          <w:sz w:val="21"/>
        </w:rPr>
        <w:t>finanziario  corrente  e  nei  </w:t>
      </w:r>
      <w:r>
        <w:rPr>
          <w:spacing w:val="2"/>
          <w:w w:val="105"/>
          <w:sz w:val="21"/>
        </w:rPr>
        <w:t>due  </w:t>
      </w:r>
      <w:r>
        <w:rPr>
          <w:w w:val="105"/>
          <w:sz w:val="21"/>
        </w:rPr>
        <w:t>esercizi finanziari precedenti, aiuti «de minimis», anche in considerazione delle disposizioni specifiche relative a fusioni/acquisizioni o</w:t>
      </w:r>
      <w:r>
        <w:rPr>
          <w:spacing w:val="-10"/>
          <w:w w:val="105"/>
          <w:sz w:val="21"/>
        </w:rPr>
        <w:t> </w:t>
      </w:r>
      <w:r>
        <w:rPr>
          <w:w w:val="105"/>
          <w:sz w:val="21"/>
        </w:rPr>
        <w:t>scissioni;</w:t>
      </w:r>
    </w:p>
    <w:p>
      <w:pPr>
        <w:pStyle w:val="ListParagraph"/>
        <w:numPr>
          <w:ilvl w:val="0"/>
          <w:numId w:val="4"/>
        </w:numPr>
        <w:tabs>
          <w:tab w:pos="830" w:val="left" w:leader="none"/>
        </w:tabs>
        <w:spacing w:line="376" w:lineRule="auto" w:before="3" w:after="0"/>
        <w:ind w:left="803" w:right="896" w:hanging="398"/>
        <w:jc w:val="both"/>
        <w:rPr>
          <w:sz w:val="21"/>
        </w:rPr>
      </w:pPr>
      <w:r>
        <w:rPr>
          <w:w w:val="105"/>
          <w:sz w:val="21"/>
        </w:rPr>
        <w:t>Che l’impresa rappresentata e ciascuna delle sue eventuali collegate ha ricevuto, nell’esercizio finanziario</w:t>
      </w:r>
      <w:r>
        <w:rPr>
          <w:spacing w:val="-6"/>
          <w:w w:val="105"/>
          <w:sz w:val="21"/>
        </w:rPr>
        <w:t> </w:t>
      </w:r>
      <w:r>
        <w:rPr>
          <w:w w:val="105"/>
          <w:sz w:val="21"/>
        </w:rPr>
        <w:t>corrente</w:t>
      </w:r>
      <w:r>
        <w:rPr>
          <w:spacing w:val="-5"/>
          <w:w w:val="105"/>
          <w:sz w:val="21"/>
        </w:rPr>
        <w:t> </w:t>
      </w:r>
      <w:r>
        <w:rPr>
          <w:w w:val="105"/>
          <w:sz w:val="21"/>
        </w:rPr>
        <w:t>e</w:t>
      </w:r>
      <w:r>
        <w:rPr>
          <w:spacing w:val="-1"/>
          <w:w w:val="105"/>
          <w:sz w:val="21"/>
        </w:rPr>
        <w:t> </w:t>
      </w:r>
      <w:r>
        <w:rPr>
          <w:w w:val="105"/>
          <w:sz w:val="21"/>
        </w:rPr>
        <w:t>nei due</w:t>
      </w:r>
      <w:r>
        <w:rPr>
          <w:spacing w:val="-3"/>
          <w:w w:val="105"/>
          <w:sz w:val="21"/>
        </w:rPr>
        <w:t> </w:t>
      </w:r>
      <w:r>
        <w:rPr>
          <w:w w:val="105"/>
          <w:sz w:val="21"/>
        </w:rPr>
        <w:t>esercizi</w:t>
      </w:r>
      <w:r>
        <w:rPr>
          <w:spacing w:val="-4"/>
          <w:w w:val="105"/>
          <w:sz w:val="21"/>
        </w:rPr>
        <w:t> </w:t>
      </w:r>
      <w:r>
        <w:rPr>
          <w:w w:val="105"/>
          <w:sz w:val="21"/>
        </w:rPr>
        <w:t>finanziari</w:t>
      </w:r>
      <w:r>
        <w:rPr>
          <w:spacing w:val="-5"/>
          <w:w w:val="105"/>
          <w:sz w:val="21"/>
        </w:rPr>
        <w:t> </w:t>
      </w:r>
      <w:r>
        <w:rPr>
          <w:w w:val="105"/>
          <w:sz w:val="21"/>
        </w:rPr>
        <w:t>precedenti,</w:t>
      </w:r>
      <w:r>
        <w:rPr>
          <w:spacing w:val="-6"/>
          <w:w w:val="105"/>
          <w:sz w:val="21"/>
        </w:rPr>
        <w:t> </w:t>
      </w:r>
      <w:r>
        <w:rPr>
          <w:w w:val="105"/>
          <w:sz w:val="21"/>
        </w:rPr>
        <w:t>i</w:t>
      </w:r>
      <w:r>
        <w:rPr>
          <w:spacing w:val="-2"/>
          <w:w w:val="105"/>
          <w:sz w:val="21"/>
        </w:rPr>
        <w:t> </w:t>
      </w:r>
      <w:r>
        <w:rPr>
          <w:w w:val="105"/>
          <w:sz w:val="21"/>
        </w:rPr>
        <w:t>seguenti</w:t>
      </w:r>
      <w:r>
        <w:rPr>
          <w:spacing w:val="-6"/>
          <w:w w:val="105"/>
          <w:sz w:val="21"/>
        </w:rPr>
        <w:t> </w:t>
      </w:r>
      <w:r>
        <w:rPr>
          <w:w w:val="105"/>
          <w:sz w:val="21"/>
        </w:rPr>
        <w:t>aiuti</w:t>
      </w:r>
      <w:r>
        <w:rPr>
          <w:spacing w:val="-2"/>
          <w:w w:val="105"/>
          <w:sz w:val="21"/>
        </w:rPr>
        <w:t> </w:t>
      </w:r>
      <w:r>
        <w:rPr>
          <w:w w:val="105"/>
          <w:sz w:val="21"/>
        </w:rPr>
        <w:t>«de</w:t>
      </w:r>
      <w:r>
        <w:rPr>
          <w:spacing w:val="-3"/>
          <w:w w:val="105"/>
          <w:sz w:val="21"/>
        </w:rPr>
        <w:t> </w:t>
      </w:r>
      <w:r>
        <w:rPr>
          <w:w w:val="105"/>
          <w:sz w:val="21"/>
        </w:rPr>
        <w:t>minimis»:</w:t>
      </w: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5"/>
        <w:gridCol w:w="2083"/>
        <w:gridCol w:w="2184"/>
        <w:gridCol w:w="1949"/>
        <w:gridCol w:w="2093"/>
      </w:tblGrid>
      <w:tr>
        <w:trPr>
          <w:trHeight w:val="758" w:hRule="atLeast"/>
        </w:trPr>
        <w:tc>
          <w:tcPr>
            <w:tcW w:w="1315" w:type="dxa"/>
          </w:tcPr>
          <w:p>
            <w:pPr>
              <w:pStyle w:val="TableParagraph"/>
              <w:spacing w:before="5"/>
              <w:rPr>
                <w:rFonts w:ascii="Calibri"/>
                <w:sz w:val="20"/>
              </w:rPr>
            </w:pPr>
          </w:p>
          <w:p>
            <w:pPr>
              <w:pStyle w:val="TableParagraph"/>
              <w:spacing w:before="1"/>
              <w:ind w:right="418"/>
              <w:jc w:val="right"/>
              <w:rPr>
                <w:b/>
                <w:i/>
                <w:sz w:val="19"/>
              </w:rPr>
            </w:pPr>
            <w:r>
              <w:rPr>
                <w:b/>
                <w:i/>
                <w:sz w:val="19"/>
              </w:rPr>
              <w:t>Data</w:t>
            </w:r>
          </w:p>
        </w:tc>
        <w:tc>
          <w:tcPr>
            <w:tcW w:w="2083" w:type="dxa"/>
          </w:tcPr>
          <w:p>
            <w:pPr>
              <w:pStyle w:val="TableParagraph"/>
              <w:spacing w:before="11"/>
              <w:rPr>
                <w:rFonts w:ascii="Calibri"/>
                <w:sz w:val="19"/>
              </w:rPr>
            </w:pPr>
          </w:p>
          <w:p>
            <w:pPr>
              <w:pStyle w:val="TableParagraph"/>
              <w:spacing w:line="240" w:lineRule="atLeast"/>
              <w:ind w:left="447" w:right="444" w:firstLine="185"/>
              <w:rPr>
                <w:b/>
                <w:i/>
                <w:sz w:val="19"/>
              </w:rPr>
            </w:pPr>
            <w:r>
              <w:rPr>
                <w:b/>
                <w:i/>
                <w:w w:val="105"/>
                <w:sz w:val="19"/>
              </w:rPr>
              <w:t>Impresa </w:t>
            </w:r>
            <w:r>
              <w:rPr>
                <w:b/>
                <w:i/>
                <w:w w:val="105"/>
                <w:sz w:val="19"/>
              </w:rPr>
              <w:t>beneficiaria</w:t>
            </w:r>
          </w:p>
        </w:tc>
        <w:tc>
          <w:tcPr>
            <w:tcW w:w="2184" w:type="dxa"/>
          </w:tcPr>
          <w:p>
            <w:pPr>
              <w:pStyle w:val="TableParagraph"/>
              <w:spacing w:line="252" w:lineRule="auto" w:before="5"/>
              <w:ind w:left="478" w:hanging="255"/>
              <w:rPr>
                <w:b/>
                <w:i/>
                <w:sz w:val="19"/>
              </w:rPr>
            </w:pPr>
            <w:r>
              <w:rPr>
                <w:b/>
                <w:i/>
                <w:sz w:val="19"/>
              </w:rPr>
              <w:t>N. provvedimento </w:t>
            </w:r>
            <w:r>
              <w:rPr>
                <w:b/>
                <w:i/>
                <w:sz w:val="19"/>
              </w:rPr>
              <w:t>concessione</w:t>
            </w:r>
          </w:p>
          <w:p>
            <w:pPr>
              <w:pStyle w:val="TableParagraph"/>
              <w:ind w:left="638"/>
              <w:rPr>
                <w:b/>
                <w:i/>
                <w:sz w:val="19"/>
              </w:rPr>
            </w:pPr>
            <w:r>
              <w:rPr>
                <w:b/>
                <w:i/>
                <w:sz w:val="19"/>
              </w:rPr>
              <w:t>contributi</w:t>
            </w:r>
          </w:p>
        </w:tc>
        <w:tc>
          <w:tcPr>
            <w:tcW w:w="1949" w:type="dxa"/>
          </w:tcPr>
          <w:p>
            <w:pPr>
              <w:pStyle w:val="TableParagraph"/>
              <w:spacing w:before="5"/>
              <w:rPr>
                <w:rFonts w:ascii="Calibri"/>
                <w:sz w:val="20"/>
              </w:rPr>
            </w:pPr>
          </w:p>
          <w:p>
            <w:pPr>
              <w:pStyle w:val="TableParagraph"/>
              <w:spacing w:before="1"/>
              <w:ind w:left="118"/>
              <w:rPr>
                <w:b/>
                <w:i/>
                <w:sz w:val="19"/>
              </w:rPr>
            </w:pPr>
            <w:r>
              <w:rPr>
                <w:b/>
                <w:i/>
                <w:w w:val="105"/>
                <w:sz w:val="19"/>
              </w:rPr>
              <w:t>Ente concedente</w:t>
            </w:r>
          </w:p>
        </w:tc>
        <w:tc>
          <w:tcPr>
            <w:tcW w:w="2093" w:type="dxa"/>
          </w:tcPr>
          <w:p>
            <w:pPr>
              <w:pStyle w:val="TableParagraph"/>
              <w:spacing w:before="5"/>
              <w:rPr>
                <w:rFonts w:ascii="Calibri"/>
                <w:sz w:val="20"/>
              </w:rPr>
            </w:pPr>
          </w:p>
          <w:p>
            <w:pPr>
              <w:pStyle w:val="TableParagraph"/>
              <w:spacing w:before="1"/>
              <w:ind w:left="142"/>
              <w:rPr>
                <w:b/>
                <w:i/>
                <w:sz w:val="19"/>
              </w:rPr>
            </w:pPr>
            <w:r>
              <w:rPr>
                <w:b/>
                <w:i/>
                <w:w w:val="105"/>
                <w:sz w:val="19"/>
              </w:rPr>
              <w:t>Importo dell’aiuto</w:t>
            </w: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r>
        <w:trPr>
          <w:trHeight w:val="340" w:hRule="atLeast"/>
        </w:trPr>
        <w:tc>
          <w:tcPr>
            <w:tcW w:w="1315" w:type="dxa"/>
          </w:tcPr>
          <w:p>
            <w:pPr>
              <w:pStyle w:val="TableParagraph"/>
              <w:spacing w:before="5"/>
              <w:ind w:right="389"/>
              <w:jc w:val="right"/>
              <w:rPr>
                <w:b/>
                <w:sz w:val="19"/>
              </w:rPr>
            </w:pPr>
            <w:r>
              <w:rPr>
                <w:b/>
                <w:sz w:val="19"/>
              </w:rPr>
              <w:t>Totale</w:t>
            </w: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1949" w:type="dxa"/>
          </w:tcPr>
          <w:p>
            <w:pPr>
              <w:pStyle w:val="TableParagraph"/>
              <w:rPr>
                <w:rFonts w:ascii="Times New Roman"/>
                <w:sz w:val="20"/>
              </w:rPr>
            </w:pPr>
          </w:p>
        </w:tc>
        <w:tc>
          <w:tcPr>
            <w:tcW w:w="2093" w:type="dxa"/>
          </w:tcPr>
          <w:p>
            <w:pPr>
              <w:pStyle w:val="TableParagraph"/>
              <w:rPr>
                <w:rFonts w:ascii="Times New Roman"/>
                <w:sz w:val="20"/>
              </w:rPr>
            </w:pPr>
          </w:p>
        </w:tc>
      </w:tr>
    </w:tbl>
    <w:p>
      <w:pPr>
        <w:spacing w:after="0"/>
        <w:rPr>
          <w:rFonts w:ascii="Times New Roman"/>
          <w:sz w:val="20"/>
        </w:rPr>
        <w:sectPr>
          <w:pgSz w:w="11910" w:h="16840"/>
          <w:pgMar w:header="717" w:footer="0" w:top="1700" w:bottom="280" w:left="1020" w:right="200"/>
        </w:sectPr>
      </w:pPr>
    </w:p>
    <w:p>
      <w:pPr>
        <w:pStyle w:val="ListParagraph"/>
        <w:numPr>
          <w:ilvl w:val="0"/>
          <w:numId w:val="4"/>
        </w:numPr>
        <w:tabs>
          <w:tab w:pos="842" w:val="left" w:leader="none"/>
        </w:tabs>
        <w:spacing w:line="376" w:lineRule="auto" w:before="16" w:after="0"/>
        <w:ind w:left="803" w:right="1035" w:hanging="379"/>
        <w:jc w:val="both"/>
        <w:rPr>
          <w:rFonts w:ascii="Century Gothic" w:hAnsi="Century Gothic"/>
          <w:sz w:val="19"/>
        </w:rPr>
      </w:pPr>
      <w:r>
        <w:rPr>
          <w:w w:val="105"/>
          <w:sz w:val="21"/>
        </w:rPr>
        <w:t>In caso di fusioni/acquisizioni, che a ciascuna delle imprese partecipanti alla fusione o all’acquisizione sono stati concessi, nell’esercizio finanziario corrente</w:t>
      </w:r>
      <w:r>
        <w:rPr>
          <w:spacing w:val="49"/>
          <w:w w:val="105"/>
          <w:sz w:val="21"/>
        </w:rPr>
        <w:t> </w:t>
      </w:r>
      <w:r>
        <w:rPr>
          <w:w w:val="105"/>
          <w:sz w:val="21"/>
        </w:rPr>
        <w:t>e  nei  due  esercizi  finanziari precedenti, i seguenti contributi pubblici in regime «de</w:t>
      </w:r>
      <w:r>
        <w:rPr>
          <w:spacing w:val="-22"/>
          <w:w w:val="105"/>
          <w:sz w:val="21"/>
        </w:rPr>
        <w:t> </w:t>
      </w:r>
      <w:r>
        <w:rPr>
          <w:w w:val="105"/>
          <w:sz w:val="21"/>
        </w:rPr>
        <w:t>minimis»:</w: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5"/>
        <w:gridCol w:w="2083"/>
        <w:gridCol w:w="2184"/>
        <w:gridCol w:w="2726"/>
        <w:gridCol w:w="2092"/>
      </w:tblGrid>
      <w:tr>
        <w:trPr>
          <w:trHeight w:val="873" w:hRule="atLeast"/>
        </w:trPr>
        <w:tc>
          <w:tcPr>
            <w:tcW w:w="1315" w:type="dxa"/>
          </w:tcPr>
          <w:p>
            <w:pPr>
              <w:pStyle w:val="TableParagraph"/>
              <w:spacing w:before="6"/>
              <w:rPr>
                <w:rFonts w:ascii="Calibri"/>
                <w:sz w:val="20"/>
              </w:rPr>
            </w:pPr>
          </w:p>
          <w:p>
            <w:pPr>
              <w:pStyle w:val="TableParagraph"/>
              <w:ind w:right="423"/>
              <w:jc w:val="right"/>
              <w:rPr>
                <w:b/>
                <w:i/>
                <w:sz w:val="19"/>
              </w:rPr>
            </w:pPr>
            <w:r>
              <w:rPr>
                <w:b/>
                <w:i/>
                <w:sz w:val="19"/>
              </w:rPr>
              <w:t>Data</w:t>
            </w:r>
          </w:p>
        </w:tc>
        <w:tc>
          <w:tcPr>
            <w:tcW w:w="2083" w:type="dxa"/>
          </w:tcPr>
          <w:p>
            <w:pPr>
              <w:pStyle w:val="TableParagraph"/>
              <w:spacing w:before="6"/>
              <w:rPr>
                <w:rFonts w:ascii="Calibri"/>
                <w:sz w:val="20"/>
              </w:rPr>
            </w:pPr>
          </w:p>
          <w:p>
            <w:pPr>
              <w:pStyle w:val="TableParagraph"/>
              <w:spacing w:line="252" w:lineRule="auto"/>
              <w:ind w:left="447" w:right="444" w:firstLine="185"/>
              <w:rPr>
                <w:b/>
                <w:i/>
                <w:sz w:val="19"/>
              </w:rPr>
            </w:pPr>
            <w:r>
              <w:rPr>
                <w:b/>
                <w:i/>
                <w:w w:val="105"/>
                <w:sz w:val="19"/>
              </w:rPr>
              <w:t>Impresa </w:t>
            </w:r>
            <w:r>
              <w:rPr>
                <w:b/>
                <w:i/>
                <w:w w:val="105"/>
                <w:sz w:val="19"/>
              </w:rPr>
              <w:t>beneficiaria</w:t>
            </w:r>
          </w:p>
        </w:tc>
        <w:tc>
          <w:tcPr>
            <w:tcW w:w="2184" w:type="dxa"/>
          </w:tcPr>
          <w:p>
            <w:pPr>
              <w:pStyle w:val="TableParagraph"/>
              <w:spacing w:line="252" w:lineRule="auto" w:before="6"/>
              <w:ind w:left="478" w:hanging="255"/>
              <w:rPr>
                <w:b/>
                <w:i/>
                <w:sz w:val="19"/>
              </w:rPr>
            </w:pPr>
            <w:r>
              <w:rPr>
                <w:b/>
                <w:i/>
                <w:sz w:val="19"/>
              </w:rPr>
              <w:t>N. provvedimento </w:t>
            </w:r>
            <w:r>
              <w:rPr>
                <w:b/>
                <w:i/>
                <w:sz w:val="19"/>
              </w:rPr>
              <w:t>concessione</w:t>
            </w:r>
          </w:p>
          <w:p>
            <w:pPr>
              <w:pStyle w:val="TableParagraph"/>
              <w:ind w:left="638"/>
              <w:rPr>
                <w:b/>
                <w:i/>
                <w:sz w:val="19"/>
              </w:rPr>
            </w:pPr>
            <w:r>
              <w:rPr>
                <w:b/>
                <w:i/>
                <w:sz w:val="19"/>
              </w:rPr>
              <w:t>contributi</w:t>
            </w:r>
          </w:p>
        </w:tc>
        <w:tc>
          <w:tcPr>
            <w:tcW w:w="2726" w:type="dxa"/>
          </w:tcPr>
          <w:p>
            <w:pPr>
              <w:pStyle w:val="TableParagraph"/>
              <w:spacing w:before="6"/>
              <w:rPr>
                <w:rFonts w:ascii="Calibri"/>
                <w:sz w:val="20"/>
              </w:rPr>
            </w:pPr>
          </w:p>
          <w:p>
            <w:pPr>
              <w:pStyle w:val="TableParagraph"/>
              <w:ind w:left="118"/>
              <w:rPr>
                <w:b/>
                <w:i/>
                <w:sz w:val="19"/>
              </w:rPr>
            </w:pPr>
            <w:r>
              <w:rPr>
                <w:b/>
                <w:i/>
                <w:w w:val="105"/>
                <w:sz w:val="19"/>
              </w:rPr>
              <w:t>Ente concedente</w:t>
            </w:r>
          </w:p>
        </w:tc>
        <w:tc>
          <w:tcPr>
            <w:tcW w:w="2092" w:type="dxa"/>
          </w:tcPr>
          <w:p>
            <w:pPr>
              <w:pStyle w:val="TableParagraph"/>
              <w:spacing w:before="6"/>
              <w:rPr>
                <w:rFonts w:ascii="Calibri"/>
                <w:sz w:val="20"/>
              </w:rPr>
            </w:pPr>
          </w:p>
          <w:p>
            <w:pPr>
              <w:pStyle w:val="TableParagraph"/>
              <w:ind w:left="138"/>
              <w:rPr>
                <w:b/>
                <w:i/>
                <w:sz w:val="19"/>
              </w:rPr>
            </w:pPr>
            <w:r>
              <w:rPr>
                <w:b/>
                <w:i/>
                <w:w w:val="105"/>
                <w:sz w:val="19"/>
              </w:rPr>
              <w:t>Importo dell’aiuto</w:t>
            </w: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726" w:type="dxa"/>
          </w:tcPr>
          <w:p>
            <w:pPr>
              <w:pStyle w:val="TableParagraph"/>
              <w:rPr>
                <w:rFonts w:ascii="Times New Roman"/>
                <w:sz w:val="20"/>
              </w:rPr>
            </w:pPr>
          </w:p>
        </w:tc>
        <w:tc>
          <w:tcPr>
            <w:tcW w:w="2092"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726" w:type="dxa"/>
          </w:tcPr>
          <w:p>
            <w:pPr>
              <w:pStyle w:val="TableParagraph"/>
              <w:rPr>
                <w:rFonts w:ascii="Times New Roman"/>
                <w:sz w:val="20"/>
              </w:rPr>
            </w:pPr>
          </w:p>
        </w:tc>
        <w:tc>
          <w:tcPr>
            <w:tcW w:w="2092"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726" w:type="dxa"/>
          </w:tcPr>
          <w:p>
            <w:pPr>
              <w:pStyle w:val="TableParagraph"/>
              <w:rPr>
                <w:rFonts w:ascii="Times New Roman"/>
                <w:sz w:val="20"/>
              </w:rPr>
            </w:pPr>
          </w:p>
        </w:tc>
        <w:tc>
          <w:tcPr>
            <w:tcW w:w="2092"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726" w:type="dxa"/>
          </w:tcPr>
          <w:p>
            <w:pPr>
              <w:pStyle w:val="TableParagraph"/>
              <w:rPr>
                <w:rFonts w:ascii="Times New Roman"/>
                <w:sz w:val="20"/>
              </w:rPr>
            </w:pPr>
          </w:p>
        </w:tc>
        <w:tc>
          <w:tcPr>
            <w:tcW w:w="2092"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726" w:type="dxa"/>
          </w:tcPr>
          <w:p>
            <w:pPr>
              <w:pStyle w:val="TableParagraph"/>
              <w:rPr>
                <w:rFonts w:ascii="Times New Roman"/>
                <w:sz w:val="20"/>
              </w:rPr>
            </w:pPr>
          </w:p>
        </w:tc>
        <w:tc>
          <w:tcPr>
            <w:tcW w:w="2092" w:type="dxa"/>
          </w:tcPr>
          <w:p>
            <w:pPr>
              <w:pStyle w:val="TableParagraph"/>
              <w:rPr>
                <w:rFonts w:ascii="Times New Roman"/>
                <w:sz w:val="20"/>
              </w:rPr>
            </w:pPr>
          </w:p>
        </w:tc>
      </w:tr>
      <w:tr>
        <w:trPr>
          <w:trHeight w:val="340"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726" w:type="dxa"/>
          </w:tcPr>
          <w:p>
            <w:pPr>
              <w:pStyle w:val="TableParagraph"/>
              <w:rPr>
                <w:rFonts w:ascii="Times New Roman"/>
                <w:sz w:val="20"/>
              </w:rPr>
            </w:pPr>
          </w:p>
        </w:tc>
        <w:tc>
          <w:tcPr>
            <w:tcW w:w="2092" w:type="dxa"/>
          </w:tcPr>
          <w:p>
            <w:pPr>
              <w:pStyle w:val="TableParagraph"/>
              <w:rPr>
                <w:rFonts w:ascii="Times New Roman"/>
                <w:sz w:val="20"/>
              </w:rPr>
            </w:pPr>
          </w:p>
        </w:tc>
      </w:tr>
      <w:tr>
        <w:trPr>
          <w:trHeight w:val="340" w:hRule="atLeast"/>
        </w:trPr>
        <w:tc>
          <w:tcPr>
            <w:tcW w:w="1315" w:type="dxa"/>
          </w:tcPr>
          <w:p>
            <w:pPr>
              <w:pStyle w:val="TableParagraph"/>
              <w:spacing w:before="6"/>
              <w:ind w:right="394"/>
              <w:jc w:val="right"/>
              <w:rPr>
                <w:b/>
                <w:sz w:val="19"/>
              </w:rPr>
            </w:pPr>
            <w:r>
              <w:rPr>
                <w:b/>
                <w:sz w:val="19"/>
              </w:rPr>
              <w:t>Totale</w:t>
            </w: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726" w:type="dxa"/>
          </w:tcPr>
          <w:p>
            <w:pPr>
              <w:pStyle w:val="TableParagraph"/>
              <w:rPr>
                <w:rFonts w:ascii="Times New Roman"/>
                <w:sz w:val="20"/>
              </w:rPr>
            </w:pPr>
          </w:p>
        </w:tc>
        <w:tc>
          <w:tcPr>
            <w:tcW w:w="2092" w:type="dxa"/>
          </w:tcPr>
          <w:p>
            <w:pPr>
              <w:pStyle w:val="TableParagraph"/>
              <w:rPr>
                <w:rFonts w:ascii="Times New Roman"/>
                <w:sz w:val="20"/>
              </w:rPr>
            </w:pPr>
          </w:p>
        </w:tc>
      </w:tr>
    </w:tbl>
    <w:p>
      <w:pPr>
        <w:pStyle w:val="BodyText"/>
        <w:rPr>
          <w:sz w:val="30"/>
        </w:rPr>
      </w:pPr>
    </w:p>
    <w:p>
      <w:pPr>
        <w:pStyle w:val="ListParagraph"/>
        <w:numPr>
          <w:ilvl w:val="0"/>
          <w:numId w:val="4"/>
        </w:numPr>
        <w:tabs>
          <w:tab w:pos="994" w:val="left" w:leader="none"/>
        </w:tabs>
        <w:spacing w:line="376" w:lineRule="auto" w:before="1" w:after="0"/>
        <w:ind w:left="963" w:right="895" w:hanging="379"/>
        <w:jc w:val="both"/>
        <w:rPr>
          <w:rFonts w:ascii="Century Gothic" w:hAnsi="Century Gothic"/>
          <w:sz w:val="19"/>
        </w:rPr>
      </w:pPr>
      <w:r>
        <w:rPr>
          <w:w w:val="105"/>
          <w:sz w:val="21"/>
        </w:rPr>
        <w:t>In caso di scissioni, che all’impresa unica rappresentata sono stati</w:t>
      </w:r>
      <w:r>
        <w:rPr>
          <w:spacing w:val="49"/>
          <w:w w:val="105"/>
          <w:sz w:val="21"/>
        </w:rPr>
        <w:t> </w:t>
      </w:r>
      <w:r>
        <w:rPr>
          <w:w w:val="105"/>
          <w:sz w:val="21"/>
        </w:rPr>
        <w:t>concessi,  prima  della scissione, i seguenti contributi pubblici in regime</w:t>
      </w:r>
      <w:r>
        <w:rPr>
          <w:spacing w:val="49"/>
          <w:w w:val="105"/>
          <w:sz w:val="21"/>
        </w:rPr>
        <w:t> </w:t>
      </w:r>
      <w:r>
        <w:rPr>
          <w:w w:val="105"/>
          <w:sz w:val="21"/>
        </w:rPr>
        <w:t>«de  </w:t>
      </w:r>
      <w:r>
        <w:rPr>
          <w:spacing w:val="2"/>
          <w:w w:val="105"/>
          <w:sz w:val="21"/>
        </w:rPr>
        <w:t>minimis»  </w:t>
      </w:r>
      <w:r>
        <w:rPr>
          <w:w w:val="105"/>
          <w:sz w:val="21"/>
        </w:rPr>
        <w:t>nell’esercizio  finanziario corrente e nei </w:t>
      </w:r>
      <w:r>
        <w:rPr>
          <w:spacing w:val="2"/>
          <w:w w:val="105"/>
          <w:sz w:val="21"/>
        </w:rPr>
        <w:t>due </w:t>
      </w:r>
      <w:r>
        <w:rPr>
          <w:w w:val="105"/>
          <w:sz w:val="21"/>
        </w:rPr>
        <w:t>esercizi</w:t>
      </w:r>
      <w:r>
        <w:rPr>
          <w:spacing w:val="-10"/>
          <w:w w:val="105"/>
          <w:sz w:val="21"/>
        </w:rPr>
        <w:t> </w:t>
      </w:r>
      <w:r>
        <w:rPr>
          <w:w w:val="105"/>
          <w:sz w:val="21"/>
        </w:rPr>
        <w:t>precedenti:</w: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5"/>
        <w:gridCol w:w="2083"/>
        <w:gridCol w:w="2184"/>
        <w:gridCol w:w="2698"/>
        <w:gridCol w:w="2160"/>
      </w:tblGrid>
      <w:tr>
        <w:trPr>
          <w:trHeight w:val="825" w:hRule="atLeast"/>
        </w:trPr>
        <w:tc>
          <w:tcPr>
            <w:tcW w:w="1315" w:type="dxa"/>
          </w:tcPr>
          <w:p>
            <w:pPr>
              <w:pStyle w:val="TableParagraph"/>
              <w:rPr>
                <w:rFonts w:ascii="Calibri"/>
                <w:sz w:val="24"/>
              </w:rPr>
            </w:pPr>
          </w:p>
          <w:p>
            <w:pPr>
              <w:pStyle w:val="TableParagraph"/>
              <w:spacing w:before="202"/>
              <w:ind w:left="413"/>
              <w:rPr>
                <w:b/>
                <w:i/>
                <w:sz w:val="19"/>
              </w:rPr>
            </w:pPr>
            <w:r>
              <w:rPr>
                <w:b/>
                <w:i/>
                <w:w w:val="105"/>
                <w:sz w:val="19"/>
              </w:rPr>
              <w:t>Data</w:t>
            </w:r>
          </w:p>
        </w:tc>
        <w:tc>
          <w:tcPr>
            <w:tcW w:w="2083" w:type="dxa"/>
          </w:tcPr>
          <w:p>
            <w:pPr>
              <w:pStyle w:val="TableParagraph"/>
              <w:spacing w:before="6"/>
              <w:rPr>
                <w:rFonts w:ascii="Calibri"/>
                <w:sz w:val="20"/>
              </w:rPr>
            </w:pPr>
          </w:p>
          <w:p>
            <w:pPr>
              <w:pStyle w:val="TableParagraph"/>
              <w:spacing w:line="252" w:lineRule="auto"/>
              <w:ind w:left="449" w:right="442" w:firstLine="185"/>
              <w:rPr>
                <w:b/>
                <w:i/>
                <w:sz w:val="19"/>
              </w:rPr>
            </w:pPr>
            <w:r>
              <w:rPr>
                <w:b/>
                <w:i/>
                <w:w w:val="105"/>
                <w:sz w:val="19"/>
              </w:rPr>
              <w:t>Impresa </w:t>
            </w:r>
            <w:r>
              <w:rPr>
                <w:b/>
                <w:i/>
                <w:w w:val="105"/>
                <w:sz w:val="19"/>
              </w:rPr>
              <w:t>beneficiaria</w:t>
            </w:r>
          </w:p>
        </w:tc>
        <w:tc>
          <w:tcPr>
            <w:tcW w:w="2184" w:type="dxa"/>
          </w:tcPr>
          <w:p>
            <w:pPr>
              <w:pStyle w:val="TableParagraph"/>
              <w:spacing w:line="252" w:lineRule="auto" w:before="6"/>
              <w:ind w:left="478" w:hanging="255"/>
              <w:rPr>
                <w:b/>
                <w:i/>
                <w:sz w:val="19"/>
              </w:rPr>
            </w:pPr>
            <w:r>
              <w:rPr>
                <w:b/>
                <w:i/>
                <w:sz w:val="19"/>
              </w:rPr>
              <w:t>N. provvedimento </w:t>
            </w:r>
            <w:r>
              <w:rPr>
                <w:b/>
                <w:i/>
                <w:sz w:val="19"/>
              </w:rPr>
              <w:t>concessione</w:t>
            </w:r>
          </w:p>
          <w:p>
            <w:pPr>
              <w:pStyle w:val="TableParagraph"/>
              <w:ind w:left="638"/>
              <w:rPr>
                <w:b/>
                <w:i/>
                <w:sz w:val="19"/>
              </w:rPr>
            </w:pPr>
            <w:r>
              <w:rPr>
                <w:b/>
                <w:i/>
                <w:sz w:val="19"/>
              </w:rPr>
              <w:t>contributi</w:t>
            </w:r>
          </w:p>
        </w:tc>
        <w:tc>
          <w:tcPr>
            <w:tcW w:w="2698" w:type="dxa"/>
          </w:tcPr>
          <w:p>
            <w:pPr>
              <w:pStyle w:val="TableParagraph"/>
              <w:spacing w:before="6"/>
              <w:rPr>
                <w:rFonts w:ascii="Calibri"/>
                <w:sz w:val="20"/>
              </w:rPr>
            </w:pPr>
          </w:p>
          <w:p>
            <w:pPr>
              <w:pStyle w:val="TableParagraph"/>
              <w:ind w:left="118"/>
              <w:rPr>
                <w:b/>
                <w:i/>
                <w:sz w:val="19"/>
              </w:rPr>
            </w:pPr>
            <w:r>
              <w:rPr>
                <w:b/>
                <w:i/>
                <w:w w:val="105"/>
                <w:sz w:val="19"/>
              </w:rPr>
              <w:t>Ente concedente</w:t>
            </w:r>
          </w:p>
        </w:tc>
        <w:tc>
          <w:tcPr>
            <w:tcW w:w="2160" w:type="dxa"/>
          </w:tcPr>
          <w:p>
            <w:pPr>
              <w:pStyle w:val="TableParagraph"/>
              <w:spacing w:before="6"/>
              <w:rPr>
                <w:rFonts w:ascii="Calibri"/>
                <w:sz w:val="20"/>
              </w:rPr>
            </w:pPr>
          </w:p>
          <w:p>
            <w:pPr>
              <w:pStyle w:val="TableParagraph"/>
              <w:ind w:left="296"/>
              <w:rPr>
                <w:b/>
                <w:i/>
                <w:sz w:val="19"/>
              </w:rPr>
            </w:pPr>
            <w:r>
              <w:rPr>
                <w:b/>
                <w:i/>
                <w:w w:val="105"/>
                <w:sz w:val="19"/>
              </w:rPr>
              <w:t>Importo dell’aiuto</w:t>
            </w:r>
          </w:p>
        </w:tc>
      </w:tr>
      <w:tr>
        <w:trPr>
          <w:trHeight w:val="278"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698" w:type="dxa"/>
          </w:tcPr>
          <w:p>
            <w:pPr>
              <w:pStyle w:val="TableParagraph"/>
              <w:rPr>
                <w:rFonts w:ascii="Times New Roman"/>
                <w:sz w:val="20"/>
              </w:rPr>
            </w:pPr>
          </w:p>
        </w:tc>
        <w:tc>
          <w:tcPr>
            <w:tcW w:w="2160" w:type="dxa"/>
          </w:tcPr>
          <w:p>
            <w:pPr>
              <w:pStyle w:val="TableParagraph"/>
              <w:rPr>
                <w:rFonts w:ascii="Times New Roman"/>
                <w:sz w:val="20"/>
              </w:rPr>
            </w:pPr>
          </w:p>
        </w:tc>
      </w:tr>
      <w:tr>
        <w:trPr>
          <w:trHeight w:val="273"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698" w:type="dxa"/>
          </w:tcPr>
          <w:p>
            <w:pPr>
              <w:pStyle w:val="TableParagraph"/>
              <w:rPr>
                <w:rFonts w:ascii="Times New Roman"/>
                <w:sz w:val="20"/>
              </w:rPr>
            </w:pPr>
          </w:p>
        </w:tc>
        <w:tc>
          <w:tcPr>
            <w:tcW w:w="2160" w:type="dxa"/>
          </w:tcPr>
          <w:p>
            <w:pPr>
              <w:pStyle w:val="TableParagraph"/>
              <w:rPr>
                <w:rFonts w:ascii="Times New Roman"/>
                <w:sz w:val="20"/>
              </w:rPr>
            </w:pPr>
          </w:p>
        </w:tc>
      </w:tr>
      <w:tr>
        <w:trPr>
          <w:trHeight w:val="277"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698" w:type="dxa"/>
          </w:tcPr>
          <w:p>
            <w:pPr>
              <w:pStyle w:val="TableParagraph"/>
              <w:rPr>
                <w:rFonts w:ascii="Times New Roman"/>
                <w:sz w:val="20"/>
              </w:rPr>
            </w:pPr>
          </w:p>
        </w:tc>
        <w:tc>
          <w:tcPr>
            <w:tcW w:w="2160" w:type="dxa"/>
          </w:tcPr>
          <w:p>
            <w:pPr>
              <w:pStyle w:val="TableParagraph"/>
              <w:rPr>
                <w:rFonts w:ascii="Times New Roman"/>
                <w:sz w:val="20"/>
              </w:rPr>
            </w:pPr>
          </w:p>
        </w:tc>
      </w:tr>
      <w:tr>
        <w:trPr>
          <w:trHeight w:val="277"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698" w:type="dxa"/>
          </w:tcPr>
          <w:p>
            <w:pPr>
              <w:pStyle w:val="TableParagraph"/>
              <w:rPr>
                <w:rFonts w:ascii="Times New Roman"/>
                <w:sz w:val="20"/>
              </w:rPr>
            </w:pPr>
          </w:p>
        </w:tc>
        <w:tc>
          <w:tcPr>
            <w:tcW w:w="2160" w:type="dxa"/>
          </w:tcPr>
          <w:p>
            <w:pPr>
              <w:pStyle w:val="TableParagraph"/>
              <w:rPr>
                <w:rFonts w:ascii="Times New Roman"/>
                <w:sz w:val="20"/>
              </w:rPr>
            </w:pPr>
          </w:p>
        </w:tc>
      </w:tr>
      <w:tr>
        <w:trPr>
          <w:trHeight w:val="273"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698" w:type="dxa"/>
          </w:tcPr>
          <w:p>
            <w:pPr>
              <w:pStyle w:val="TableParagraph"/>
              <w:rPr>
                <w:rFonts w:ascii="Times New Roman"/>
                <w:sz w:val="20"/>
              </w:rPr>
            </w:pPr>
          </w:p>
        </w:tc>
        <w:tc>
          <w:tcPr>
            <w:tcW w:w="2160" w:type="dxa"/>
          </w:tcPr>
          <w:p>
            <w:pPr>
              <w:pStyle w:val="TableParagraph"/>
              <w:rPr>
                <w:rFonts w:ascii="Times New Roman"/>
                <w:sz w:val="20"/>
              </w:rPr>
            </w:pPr>
          </w:p>
        </w:tc>
      </w:tr>
      <w:tr>
        <w:trPr>
          <w:trHeight w:val="278" w:hRule="atLeast"/>
        </w:trPr>
        <w:tc>
          <w:tcPr>
            <w:tcW w:w="1315" w:type="dxa"/>
          </w:tcPr>
          <w:p>
            <w:pPr>
              <w:pStyle w:val="TableParagraph"/>
              <w:rPr>
                <w:rFonts w:ascii="Times New Roman"/>
                <w:sz w:val="20"/>
              </w:rPr>
            </w:pP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698" w:type="dxa"/>
          </w:tcPr>
          <w:p>
            <w:pPr>
              <w:pStyle w:val="TableParagraph"/>
              <w:rPr>
                <w:rFonts w:ascii="Times New Roman"/>
                <w:sz w:val="20"/>
              </w:rPr>
            </w:pPr>
          </w:p>
        </w:tc>
        <w:tc>
          <w:tcPr>
            <w:tcW w:w="2160" w:type="dxa"/>
          </w:tcPr>
          <w:p>
            <w:pPr>
              <w:pStyle w:val="TableParagraph"/>
              <w:rPr>
                <w:rFonts w:ascii="Times New Roman"/>
                <w:sz w:val="20"/>
              </w:rPr>
            </w:pPr>
          </w:p>
        </w:tc>
      </w:tr>
      <w:tr>
        <w:trPr>
          <w:trHeight w:val="273" w:hRule="atLeast"/>
        </w:trPr>
        <w:tc>
          <w:tcPr>
            <w:tcW w:w="1315" w:type="dxa"/>
          </w:tcPr>
          <w:p>
            <w:pPr>
              <w:pStyle w:val="TableParagraph"/>
              <w:spacing w:before="6"/>
              <w:ind w:left="68"/>
              <w:rPr>
                <w:sz w:val="19"/>
              </w:rPr>
            </w:pPr>
            <w:r>
              <w:rPr>
                <w:w w:val="105"/>
                <w:sz w:val="19"/>
              </w:rPr>
              <w:t>Totale</w:t>
            </w:r>
          </w:p>
        </w:tc>
        <w:tc>
          <w:tcPr>
            <w:tcW w:w="2083" w:type="dxa"/>
          </w:tcPr>
          <w:p>
            <w:pPr>
              <w:pStyle w:val="TableParagraph"/>
              <w:rPr>
                <w:rFonts w:ascii="Times New Roman"/>
                <w:sz w:val="20"/>
              </w:rPr>
            </w:pPr>
          </w:p>
        </w:tc>
        <w:tc>
          <w:tcPr>
            <w:tcW w:w="2184" w:type="dxa"/>
          </w:tcPr>
          <w:p>
            <w:pPr>
              <w:pStyle w:val="TableParagraph"/>
              <w:rPr>
                <w:rFonts w:ascii="Times New Roman"/>
                <w:sz w:val="20"/>
              </w:rPr>
            </w:pPr>
          </w:p>
        </w:tc>
        <w:tc>
          <w:tcPr>
            <w:tcW w:w="2698" w:type="dxa"/>
          </w:tcPr>
          <w:p>
            <w:pPr>
              <w:pStyle w:val="TableParagraph"/>
              <w:rPr>
                <w:rFonts w:ascii="Times New Roman"/>
                <w:sz w:val="20"/>
              </w:rPr>
            </w:pPr>
          </w:p>
        </w:tc>
        <w:tc>
          <w:tcPr>
            <w:tcW w:w="2160" w:type="dxa"/>
          </w:tcPr>
          <w:p>
            <w:pPr>
              <w:pStyle w:val="TableParagraph"/>
              <w:rPr>
                <w:rFonts w:ascii="Times New Roman"/>
                <w:sz w:val="20"/>
              </w:rPr>
            </w:pPr>
          </w:p>
        </w:tc>
      </w:tr>
    </w:tbl>
    <w:p>
      <w:pPr>
        <w:pStyle w:val="BodyText"/>
        <w:spacing w:before="4"/>
        <w:rPr>
          <w:sz w:val="30"/>
        </w:rPr>
      </w:pPr>
    </w:p>
    <w:p>
      <w:pPr>
        <w:spacing w:before="0"/>
        <w:ind w:left="2442" w:right="3240" w:firstLine="0"/>
        <w:jc w:val="center"/>
        <w:rPr>
          <w:rFonts w:ascii="Century Gothic" w:hAnsi="Century Gothic"/>
          <w:b/>
          <w:sz w:val="19"/>
        </w:rPr>
      </w:pPr>
      <w:r>
        <w:rPr>
          <w:rFonts w:ascii="Century Gothic" w:hAnsi="Century Gothic"/>
          <w:b/>
          <w:w w:val="105"/>
          <w:sz w:val="19"/>
        </w:rPr>
        <w:t>SEZIONE C «campo di</w:t>
      </w:r>
      <w:r>
        <w:rPr>
          <w:rFonts w:ascii="Century Gothic" w:hAnsi="Century Gothic"/>
          <w:b/>
          <w:spacing w:val="-19"/>
          <w:w w:val="105"/>
          <w:sz w:val="19"/>
        </w:rPr>
        <w:t> </w:t>
      </w:r>
      <w:r>
        <w:rPr>
          <w:rFonts w:ascii="Century Gothic" w:hAnsi="Century Gothic"/>
          <w:b/>
          <w:w w:val="105"/>
          <w:sz w:val="19"/>
        </w:rPr>
        <w:t>applicazione»</w:t>
      </w:r>
    </w:p>
    <w:p>
      <w:pPr>
        <w:spacing w:before="138"/>
        <w:ind w:left="2442" w:right="3239" w:firstLine="0"/>
        <w:jc w:val="center"/>
        <w:rPr>
          <w:i/>
          <w:sz w:val="21"/>
        </w:rPr>
      </w:pPr>
      <w:r>
        <w:rPr>
          <w:i/>
          <w:sz w:val="21"/>
        </w:rPr>
        <w:t>Barrare una delle tre opzioni</w:t>
      </w:r>
    </w:p>
    <w:p>
      <w:pPr>
        <w:pStyle w:val="ListParagraph"/>
        <w:numPr>
          <w:ilvl w:val="0"/>
          <w:numId w:val="5"/>
        </w:numPr>
        <w:tabs>
          <w:tab w:pos="845" w:val="left" w:leader="none"/>
        </w:tabs>
        <w:spacing w:line="240" w:lineRule="auto" w:before="137" w:after="0"/>
        <w:ind w:left="844" w:right="0" w:hanging="361"/>
        <w:jc w:val="left"/>
        <w:rPr>
          <w:sz w:val="21"/>
        </w:rPr>
      </w:pPr>
      <w:r>
        <w:rPr>
          <w:w w:val="105"/>
          <w:sz w:val="21"/>
        </w:rPr>
        <w:t>Che l’impresa opera solo in settori economici ammissibili al</w:t>
      </w:r>
      <w:r>
        <w:rPr>
          <w:spacing w:val="-20"/>
          <w:w w:val="105"/>
          <w:sz w:val="21"/>
        </w:rPr>
        <w:t> </w:t>
      </w:r>
      <w:r>
        <w:rPr>
          <w:w w:val="105"/>
          <w:sz w:val="21"/>
        </w:rPr>
        <w:t>finanziamento</w:t>
      </w:r>
      <w:r>
        <w:rPr>
          <w:w w:val="105"/>
          <w:sz w:val="21"/>
          <w:vertAlign w:val="superscript"/>
        </w:rPr>
        <w:t>1</w:t>
      </w:r>
      <w:r>
        <w:rPr>
          <w:w w:val="105"/>
          <w:sz w:val="21"/>
          <w:vertAlign w:val="baseline"/>
        </w:rPr>
        <w:t>;</w:t>
      </w:r>
    </w:p>
    <w:p>
      <w:pPr>
        <w:pStyle w:val="BodyText"/>
        <w:spacing w:before="6"/>
        <w:rPr>
          <w:sz w:val="43"/>
        </w:rPr>
      </w:pPr>
    </w:p>
    <w:p>
      <w:pPr>
        <w:pStyle w:val="ListParagraph"/>
        <w:numPr>
          <w:ilvl w:val="0"/>
          <w:numId w:val="5"/>
        </w:numPr>
        <w:tabs>
          <w:tab w:pos="805" w:val="left" w:leader="none"/>
        </w:tabs>
        <w:spacing w:line="357" w:lineRule="auto" w:before="0" w:after="0"/>
        <w:ind w:left="844" w:right="893" w:hanging="360"/>
        <w:jc w:val="both"/>
        <w:rPr>
          <w:sz w:val="21"/>
        </w:rPr>
      </w:pPr>
      <w:r>
        <w:rPr>
          <w:w w:val="105"/>
          <w:sz w:val="21"/>
        </w:rPr>
        <w:t>Che l’impresa opera anche in settori esclusi, tuttavia disponendo  di  un  sistema  di  </w:t>
      </w:r>
      <w:r>
        <w:rPr>
          <w:spacing w:val="-7"/>
          <w:w w:val="105"/>
          <w:sz w:val="21"/>
        </w:rPr>
        <w:t>separazione </w:t>
      </w:r>
      <w:r>
        <w:rPr>
          <w:w w:val="105"/>
          <w:sz w:val="21"/>
        </w:rPr>
        <w:t>delle attività o distinzione dei costi, assicura che gli aiuti oggetto della presente domanda </w:t>
      </w:r>
      <w:r>
        <w:rPr>
          <w:spacing w:val="2"/>
          <w:w w:val="105"/>
          <w:sz w:val="21"/>
        </w:rPr>
        <w:t>non </w:t>
      </w:r>
      <w:r>
        <w:rPr>
          <w:w w:val="105"/>
          <w:sz w:val="21"/>
        </w:rPr>
        <w:t>finanziano attività escluse dal campo di</w:t>
      </w:r>
      <w:r>
        <w:rPr>
          <w:spacing w:val="-11"/>
          <w:w w:val="105"/>
          <w:sz w:val="21"/>
        </w:rPr>
        <w:t> </w:t>
      </w:r>
      <w:r>
        <w:rPr>
          <w:w w:val="105"/>
          <w:sz w:val="21"/>
        </w:rPr>
        <w:t>applicazione;</w:t>
      </w:r>
    </w:p>
    <w:p>
      <w:pPr>
        <w:pStyle w:val="BodyText"/>
        <w:rPr>
          <w:sz w:val="20"/>
        </w:rPr>
      </w:pPr>
    </w:p>
    <w:p>
      <w:pPr>
        <w:pStyle w:val="BodyText"/>
        <w:rPr>
          <w:sz w:val="20"/>
        </w:rPr>
      </w:pPr>
    </w:p>
    <w:p>
      <w:pPr>
        <w:pStyle w:val="BodyText"/>
        <w:rPr>
          <w:sz w:val="20"/>
        </w:rPr>
      </w:pPr>
    </w:p>
    <w:p>
      <w:pPr>
        <w:pStyle w:val="BodyText"/>
        <w:spacing w:before="7"/>
        <w:rPr>
          <w:sz w:val="18"/>
        </w:rPr>
      </w:pPr>
      <w:r>
        <w:rPr/>
        <w:pict>
          <v:line style="position:absolute;mso-position-horizontal-relative:page;mso-position-vertical-relative:paragraph;z-index:-251657216;mso-wrap-distance-left:0;mso-wrap-distance-right:0" from="57.2239pt,13.545136pt" to="201.22390pt,13.545136pt" stroked="true" strokeweight=".48pt" strokecolor="#000000">
            <v:stroke dashstyle="solid"/>
            <w10:wrap type="topAndBottom"/>
          </v:line>
        </w:pict>
      </w:r>
    </w:p>
    <w:p>
      <w:pPr>
        <w:spacing w:line="247" w:lineRule="auto" w:before="52"/>
        <w:ind w:left="124" w:right="921" w:firstLine="0"/>
        <w:jc w:val="both"/>
        <w:rPr>
          <w:rFonts w:ascii="Century Gothic" w:hAnsi="Century Gothic"/>
          <w:i/>
          <w:sz w:val="16"/>
        </w:rPr>
      </w:pPr>
      <w:r>
        <w:rPr>
          <w:rFonts w:ascii="Times New Roman" w:hAnsi="Times New Roman"/>
          <w:i/>
          <w:position w:val="9"/>
          <w:sz w:val="13"/>
        </w:rPr>
        <w:t>1 </w:t>
      </w:r>
      <w:r>
        <w:rPr>
          <w:rFonts w:ascii="Century Gothic" w:hAnsi="Century Gothic"/>
          <w:i/>
          <w:sz w:val="16"/>
        </w:rPr>
        <w:t>Sono esclusi la pesca, l’acquacoltura, l’agricoltura (produzione primaria) a particolari condizioni, le attività connesse </w:t>
      </w:r>
      <w:r>
        <w:rPr>
          <w:rFonts w:ascii="Century Gothic" w:hAnsi="Century Gothic"/>
          <w:i/>
          <w:sz w:val="16"/>
        </w:rPr>
        <w:t>all’esportazione, gli aiuti subordinati all’impiego di prodotti nazionali rispetto a quelli importati- si veda le precisazioni all’articolo 1 comma 1 del Reg. 1407/2013</w:t>
      </w:r>
    </w:p>
    <w:p>
      <w:pPr>
        <w:spacing w:after="0" w:line="247" w:lineRule="auto"/>
        <w:jc w:val="both"/>
        <w:rPr>
          <w:rFonts w:ascii="Century Gothic" w:hAnsi="Century Gothic"/>
          <w:sz w:val="16"/>
        </w:rPr>
        <w:sectPr>
          <w:pgSz w:w="11910" w:h="16840"/>
          <w:pgMar w:header="717" w:footer="0" w:top="1700" w:bottom="280" w:left="1020" w:right="200"/>
        </w:sectPr>
      </w:pPr>
    </w:p>
    <w:p>
      <w:pPr>
        <w:pStyle w:val="ListParagraph"/>
        <w:numPr>
          <w:ilvl w:val="0"/>
          <w:numId w:val="6"/>
        </w:numPr>
        <w:tabs>
          <w:tab w:pos="805" w:val="left" w:leader="none"/>
        </w:tabs>
        <w:spacing w:line="357" w:lineRule="auto" w:before="6" w:after="0"/>
        <w:ind w:left="844" w:right="894" w:hanging="360"/>
        <w:jc w:val="both"/>
        <w:rPr>
          <w:sz w:val="21"/>
        </w:rPr>
      </w:pPr>
      <w:r>
        <w:rPr>
          <w:w w:val="105"/>
          <w:sz w:val="21"/>
        </w:rPr>
        <w:t>Che l’impresa opera </w:t>
      </w:r>
      <w:r>
        <w:rPr>
          <w:spacing w:val="2"/>
          <w:w w:val="105"/>
          <w:sz w:val="21"/>
        </w:rPr>
        <w:t>anche </w:t>
      </w:r>
      <w:r>
        <w:rPr>
          <w:spacing w:val="3"/>
          <w:w w:val="105"/>
          <w:sz w:val="21"/>
        </w:rPr>
        <w:t>nel </w:t>
      </w:r>
      <w:r>
        <w:rPr>
          <w:spacing w:val="5"/>
          <w:w w:val="105"/>
          <w:sz w:val="21"/>
        </w:rPr>
        <w:t>settore </w:t>
      </w:r>
      <w:r>
        <w:rPr>
          <w:w w:val="105"/>
          <w:sz w:val="21"/>
        </w:rPr>
        <w:t>del trasporto di merci su</w:t>
      </w:r>
      <w:r>
        <w:rPr>
          <w:spacing w:val="49"/>
          <w:w w:val="105"/>
          <w:sz w:val="21"/>
        </w:rPr>
        <w:t> </w:t>
      </w:r>
      <w:r>
        <w:rPr>
          <w:w w:val="105"/>
          <w:sz w:val="21"/>
        </w:rPr>
        <w:t>strada  per  conto  </w:t>
      </w:r>
      <w:r>
        <w:rPr>
          <w:spacing w:val="-15"/>
          <w:w w:val="105"/>
          <w:sz w:val="21"/>
        </w:rPr>
        <w:t>terzi,   </w:t>
      </w:r>
      <w:r>
        <w:rPr>
          <w:w w:val="105"/>
          <w:sz w:val="21"/>
        </w:rPr>
        <w:t>disponendo di un sistema di separazione delle attività o distinzione dei costi, assicura che gli aiuti ricevuti a titolo di «de </w:t>
      </w:r>
      <w:r>
        <w:rPr>
          <w:spacing w:val="2"/>
          <w:w w:val="105"/>
          <w:sz w:val="21"/>
        </w:rPr>
        <w:t>minimis» </w:t>
      </w:r>
      <w:r>
        <w:rPr>
          <w:w w:val="105"/>
          <w:sz w:val="21"/>
        </w:rPr>
        <w:t>non finanziano le diverse attività oltre i massimali</w:t>
      </w:r>
      <w:r>
        <w:rPr>
          <w:spacing w:val="24"/>
          <w:w w:val="105"/>
          <w:sz w:val="21"/>
        </w:rPr>
        <w:t> </w:t>
      </w:r>
      <w:r>
        <w:rPr>
          <w:w w:val="105"/>
          <w:sz w:val="21"/>
        </w:rPr>
        <w:t>pertinenti.</w:t>
      </w:r>
    </w:p>
    <w:p>
      <w:pPr>
        <w:pStyle w:val="BodyText"/>
        <w:spacing w:before="11"/>
        <w:rPr>
          <w:sz w:val="33"/>
        </w:rPr>
      </w:pPr>
    </w:p>
    <w:p>
      <w:pPr>
        <w:spacing w:before="0"/>
        <w:ind w:left="2442" w:right="2784" w:firstLine="0"/>
        <w:jc w:val="center"/>
        <w:rPr>
          <w:rFonts w:ascii="Century Gothic" w:hAnsi="Century Gothic"/>
          <w:b/>
          <w:sz w:val="19"/>
        </w:rPr>
      </w:pPr>
      <w:r>
        <w:rPr>
          <w:rFonts w:ascii="Century Gothic" w:hAnsi="Century Gothic"/>
          <w:b/>
          <w:w w:val="105"/>
          <w:sz w:val="19"/>
        </w:rPr>
        <w:t>SEZIONE D «condizioni di cumulo»</w:t>
      </w:r>
    </w:p>
    <w:p>
      <w:pPr>
        <w:spacing w:before="138"/>
        <w:ind w:left="3904" w:right="0" w:firstLine="0"/>
        <w:jc w:val="left"/>
        <w:rPr>
          <w:i/>
          <w:sz w:val="21"/>
        </w:rPr>
      </w:pPr>
      <w:r>
        <w:rPr>
          <w:i/>
          <w:sz w:val="21"/>
        </w:rPr>
        <w:t>Barrare una delle due opzioni</w:t>
      </w:r>
    </w:p>
    <w:p>
      <w:pPr>
        <w:pStyle w:val="ListParagraph"/>
        <w:numPr>
          <w:ilvl w:val="1"/>
          <w:numId w:val="6"/>
        </w:numPr>
        <w:tabs>
          <w:tab w:pos="1118" w:val="left" w:leader="none"/>
        </w:tabs>
        <w:spacing w:line="338" w:lineRule="auto" w:before="137" w:after="0"/>
        <w:ind w:left="1117" w:right="894" w:hanging="360"/>
        <w:jc w:val="left"/>
        <w:rPr>
          <w:sz w:val="21"/>
        </w:rPr>
      </w:pPr>
      <w:r>
        <w:rPr>
          <w:w w:val="105"/>
          <w:sz w:val="21"/>
        </w:rPr>
        <w:t>Che in riferimento agli stessi “costi ammissibili” di cui </w:t>
      </w:r>
      <w:r>
        <w:rPr>
          <w:spacing w:val="3"/>
          <w:w w:val="105"/>
          <w:sz w:val="21"/>
        </w:rPr>
        <w:t>alla presente </w:t>
      </w:r>
      <w:r>
        <w:rPr>
          <w:w w:val="105"/>
          <w:sz w:val="21"/>
        </w:rPr>
        <w:t>domanda </w:t>
      </w:r>
      <w:r>
        <w:rPr>
          <w:spacing w:val="-9"/>
          <w:w w:val="105"/>
          <w:sz w:val="21"/>
        </w:rPr>
        <w:t>l’impresa </w:t>
      </w:r>
      <w:r>
        <w:rPr>
          <w:w w:val="105"/>
          <w:sz w:val="21"/>
        </w:rPr>
        <w:t>rappresentata </w:t>
      </w:r>
      <w:r>
        <w:rPr>
          <w:b/>
          <w:spacing w:val="2"/>
          <w:w w:val="105"/>
          <w:sz w:val="21"/>
        </w:rPr>
        <w:t>NON </w:t>
      </w:r>
      <w:r>
        <w:rPr>
          <w:w w:val="105"/>
          <w:sz w:val="21"/>
        </w:rPr>
        <w:t>ha beneficiato di altri aiuti di</w:t>
      </w:r>
      <w:r>
        <w:rPr>
          <w:spacing w:val="-19"/>
          <w:w w:val="105"/>
          <w:sz w:val="21"/>
        </w:rPr>
        <w:t> </w:t>
      </w:r>
      <w:r>
        <w:rPr>
          <w:w w:val="105"/>
          <w:sz w:val="21"/>
        </w:rPr>
        <w:t>Stato.</w:t>
      </w:r>
    </w:p>
    <w:p>
      <w:pPr>
        <w:pStyle w:val="ListParagraph"/>
        <w:numPr>
          <w:ilvl w:val="1"/>
          <w:numId w:val="6"/>
        </w:numPr>
        <w:tabs>
          <w:tab w:pos="1118" w:val="left" w:leader="none"/>
        </w:tabs>
        <w:spacing w:line="338" w:lineRule="auto" w:before="33" w:after="37"/>
        <w:ind w:left="1117" w:right="894" w:hanging="360"/>
        <w:jc w:val="left"/>
        <w:rPr>
          <w:sz w:val="21"/>
        </w:rPr>
      </w:pPr>
      <w:r>
        <w:rPr>
          <w:w w:val="105"/>
          <w:sz w:val="21"/>
        </w:rPr>
        <w:t>Che in </w:t>
      </w:r>
      <w:r>
        <w:rPr>
          <w:spacing w:val="2"/>
          <w:w w:val="105"/>
          <w:sz w:val="21"/>
        </w:rPr>
        <w:t>riferimento </w:t>
      </w:r>
      <w:r>
        <w:rPr>
          <w:w w:val="105"/>
          <w:sz w:val="21"/>
        </w:rPr>
        <w:t>agli stessi “costi ammissibili” di </w:t>
      </w:r>
      <w:r>
        <w:rPr>
          <w:spacing w:val="2"/>
          <w:w w:val="105"/>
          <w:sz w:val="21"/>
        </w:rPr>
        <w:t>cui </w:t>
      </w:r>
      <w:r>
        <w:rPr>
          <w:spacing w:val="3"/>
          <w:w w:val="105"/>
          <w:sz w:val="21"/>
        </w:rPr>
        <w:t>alla presente </w:t>
      </w:r>
      <w:r>
        <w:rPr>
          <w:w w:val="105"/>
          <w:sz w:val="21"/>
        </w:rPr>
        <w:t>domanda </w:t>
      </w:r>
      <w:r>
        <w:rPr>
          <w:spacing w:val="-10"/>
          <w:w w:val="105"/>
          <w:sz w:val="21"/>
        </w:rPr>
        <w:t>l’impresa </w:t>
      </w:r>
      <w:r>
        <w:rPr>
          <w:w w:val="105"/>
          <w:sz w:val="21"/>
        </w:rPr>
        <w:t>rappresentata </w:t>
      </w:r>
      <w:r>
        <w:rPr>
          <w:b/>
          <w:w w:val="105"/>
          <w:sz w:val="21"/>
        </w:rPr>
        <w:t>HA </w:t>
      </w:r>
      <w:r>
        <w:rPr>
          <w:w w:val="105"/>
          <w:sz w:val="21"/>
        </w:rPr>
        <w:t>beneficiato dei seguenti aiuti di</w:t>
      </w:r>
      <w:r>
        <w:rPr>
          <w:spacing w:val="-17"/>
          <w:w w:val="105"/>
          <w:sz w:val="21"/>
        </w:rPr>
        <w:t> </w:t>
      </w:r>
      <w:r>
        <w:rPr>
          <w:w w:val="105"/>
          <w:sz w:val="21"/>
        </w:rPr>
        <w:t>Stato.</w:t>
      </w:r>
    </w:p>
    <w:tbl>
      <w:tblPr>
        <w:tblW w:w="0" w:type="auto"/>
        <w:jc w:val="left"/>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9"/>
        <w:gridCol w:w="2976"/>
        <w:gridCol w:w="2318"/>
        <w:gridCol w:w="2318"/>
      </w:tblGrid>
      <w:tr>
        <w:trPr>
          <w:trHeight w:val="873" w:hRule="atLeast"/>
        </w:trPr>
        <w:tc>
          <w:tcPr>
            <w:tcW w:w="1699" w:type="dxa"/>
          </w:tcPr>
          <w:p>
            <w:pPr>
              <w:pStyle w:val="TableParagraph"/>
              <w:spacing w:line="252" w:lineRule="auto" w:before="10"/>
              <w:ind w:left="268" w:firstLine="386"/>
              <w:rPr>
                <w:b/>
                <w:i/>
                <w:sz w:val="19"/>
              </w:rPr>
            </w:pPr>
            <w:r>
              <w:rPr>
                <w:b/>
                <w:i/>
                <w:sz w:val="19"/>
              </w:rPr>
              <w:t>Norma </w:t>
            </w:r>
            <w:r>
              <w:rPr>
                <w:b/>
                <w:i/>
                <w:w w:val="95"/>
                <w:sz w:val="19"/>
              </w:rPr>
              <w:t>comunitaria </w:t>
            </w:r>
            <w:r>
              <w:rPr>
                <w:b/>
                <w:i/>
                <w:sz w:val="19"/>
              </w:rPr>
              <w:t>applicata</w:t>
            </w:r>
          </w:p>
        </w:tc>
        <w:tc>
          <w:tcPr>
            <w:tcW w:w="2976" w:type="dxa"/>
          </w:tcPr>
          <w:p>
            <w:pPr>
              <w:pStyle w:val="TableParagraph"/>
              <w:spacing w:line="252" w:lineRule="auto" w:before="10"/>
              <w:ind w:left="339" w:right="291" w:hanging="94"/>
              <w:rPr>
                <w:b/>
                <w:i/>
                <w:sz w:val="19"/>
              </w:rPr>
            </w:pPr>
            <w:r>
              <w:rPr>
                <w:b/>
                <w:i/>
                <w:w w:val="105"/>
                <w:sz w:val="19"/>
              </w:rPr>
              <w:t>Data e n. provvedimento </w:t>
            </w:r>
            <w:r>
              <w:rPr>
                <w:b/>
                <w:i/>
                <w:w w:val="105"/>
                <w:sz w:val="19"/>
              </w:rPr>
              <w:t>concessione contributi</w:t>
            </w:r>
          </w:p>
        </w:tc>
        <w:tc>
          <w:tcPr>
            <w:tcW w:w="2318" w:type="dxa"/>
          </w:tcPr>
          <w:p>
            <w:pPr>
              <w:pStyle w:val="TableParagraph"/>
              <w:spacing w:before="10"/>
              <w:ind w:left="397"/>
              <w:rPr>
                <w:b/>
                <w:i/>
                <w:sz w:val="19"/>
              </w:rPr>
            </w:pPr>
            <w:r>
              <w:rPr>
                <w:b/>
                <w:i/>
                <w:w w:val="105"/>
                <w:sz w:val="19"/>
              </w:rPr>
              <w:t>Ente concedente</w:t>
            </w:r>
          </w:p>
        </w:tc>
        <w:tc>
          <w:tcPr>
            <w:tcW w:w="2318" w:type="dxa"/>
          </w:tcPr>
          <w:p>
            <w:pPr>
              <w:pStyle w:val="TableParagraph"/>
              <w:spacing w:before="10"/>
              <w:ind w:left="347"/>
              <w:rPr>
                <w:b/>
                <w:i/>
                <w:sz w:val="19"/>
              </w:rPr>
            </w:pPr>
            <w:r>
              <w:rPr>
                <w:b/>
                <w:i/>
                <w:w w:val="105"/>
                <w:sz w:val="19"/>
              </w:rPr>
              <w:t>Importo dell’aiuto</w:t>
            </w:r>
          </w:p>
        </w:tc>
      </w:tr>
      <w:tr>
        <w:trPr>
          <w:trHeight w:val="301" w:hRule="atLeast"/>
        </w:trPr>
        <w:tc>
          <w:tcPr>
            <w:tcW w:w="1699" w:type="dxa"/>
          </w:tcPr>
          <w:p>
            <w:pPr>
              <w:pStyle w:val="TableParagraph"/>
              <w:rPr>
                <w:rFonts w:ascii="Times New Roman"/>
                <w:sz w:val="20"/>
              </w:rPr>
            </w:pPr>
          </w:p>
        </w:tc>
        <w:tc>
          <w:tcPr>
            <w:tcW w:w="2976" w:type="dxa"/>
          </w:tcPr>
          <w:p>
            <w:pPr>
              <w:pStyle w:val="TableParagraph"/>
              <w:rPr>
                <w:rFonts w:ascii="Times New Roman"/>
                <w:sz w:val="20"/>
              </w:rPr>
            </w:pPr>
          </w:p>
        </w:tc>
        <w:tc>
          <w:tcPr>
            <w:tcW w:w="2318" w:type="dxa"/>
          </w:tcPr>
          <w:p>
            <w:pPr>
              <w:pStyle w:val="TableParagraph"/>
              <w:rPr>
                <w:rFonts w:ascii="Times New Roman"/>
                <w:sz w:val="20"/>
              </w:rPr>
            </w:pPr>
          </w:p>
        </w:tc>
        <w:tc>
          <w:tcPr>
            <w:tcW w:w="2318" w:type="dxa"/>
          </w:tcPr>
          <w:p>
            <w:pPr>
              <w:pStyle w:val="TableParagraph"/>
              <w:rPr>
                <w:rFonts w:ascii="Times New Roman"/>
                <w:sz w:val="20"/>
              </w:rPr>
            </w:pPr>
          </w:p>
        </w:tc>
      </w:tr>
      <w:tr>
        <w:trPr>
          <w:trHeight w:val="302" w:hRule="atLeast"/>
        </w:trPr>
        <w:tc>
          <w:tcPr>
            <w:tcW w:w="1699" w:type="dxa"/>
          </w:tcPr>
          <w:p>
            <w:pPr>
              <w:pStyle w:val="TableParagraph"/>
              <w:rPr>
                <w:rFonts w:ascii="Times New Roman"/>
                <w:sz w:val="20"/>
              </w:rPr>
            </w:pPr>
          </w:p>
        </w:tc>
        <w:tc>
          <w:tcPr>
            <w:tcW w:w="2976" w:type="dxa"/>
          </w:tcPr>
          <w:p>
            <w:pPr>
              <w:pStyle w:val="TableParagraph"/>
              <w:rPr>
                <w:rFonts w:ascii="Times New Roman"/>
                <w:sz w:val="20"/>
              </w:rPr>
            </w:pPr>
          </w:p>
        </w:tc>
        <w:tc>
          <w:tcPr>
            <w:tcW w:w="2318" w:type="dxa"/>
          </w:tcPr>
          <w:p>
            <w:pPr>
              <w:pStyle w:val="TableParagraph"/>
              <w:rPr>
                <w:rFonts w:ascii="Times New Roman"/>
                <w:sz w:val="20"/>
              </w:rPr>
            </w:pPr>
          </w:p>
        </w:tc>
        <w:tc>
          <w:tcPr>
            <w:tcW w:w="2318" w:type="dxa"/>
          </w:tcPr>
          <w:p>
            <w:pPr>
              <w:pStyle w:val="TableParagraph"/>
              <w:rPr>
                <w:rFonts w:ascii="Times New Roman"/>
                <w:sz w:val="20"/>
              </w:rPr>
            </w:pPr>
          </w:p>
        </w:tc>
      </w:tr>
      <w:tr>
        <w:trPr>
          <w:trHeight w:val="302" w:hRule="atLeast"/>
        </w:trPr>
        <w:tc>
          <w:tcPr>
            <w:tcW w:w="1699" w:type="dxa"/>
          </w:tcPr>
          <w:p>
            <w:pPr>
              <w:pStyle w:val="TableParagraph"/>
              <w:rPr>
                <w:rFonts w:ascii="Times New Roman"/>
                <w:sz w:val="20"/>
              </w:rPr>
            </w:pPr>
          </w:p>
        </w:tc>
        <w:tc>
          <w:tcPr>
            <w:tcW w:w="2976" w:type="dxa"/>
          </w:tcPr>
          <w:p>
            <w:pPr>
              <w:pStyle w:val="TableParagraph"/>
              <w:rPr>
                <w:rFonts w:ascii="Times New Roman"/>
                <w:sz w:val="20"/>
              </w:rPr>
            </w:pPr>
          </w:p>
        </w:tc>
        <w:tc>
          <w:tcPr>
            <w:tcW w:w="2318" w:type="dxa"/>
          </w:tcPr>
          <w:p>
            <w:pPr>
              <w:pStyle w:val="TableParagraph"/>
              <w:rPr>
                <w:rFonts w:ascii="Times New Roman"/>
                <w:sz w:val="20"/>
              </w:rPr>
            </w:pPr>
          </w:p>
        </w:tc>
        <w:tc>
          <w:tcPr>
            <w:tcW w:w="2318" w:type="dxa"/>
          </w:tcPr>
          <w:p>
            <w:pPr>
              <w:pStyle w:val="TableParagraph"/>
              <w:rPr>
                <w:rFonts w:ascii="Times New Roman"/>
                <w:sz w:val="20"/>
              </w:rPr>
            </w:pPr>
          </w:p>
        </w:tc>
      </w:tr>
      <w:tr>
        <w:trPr>
          <w:trHeight w:val="302" w:hRule="atLeast"/>
        </w:trPr>
        <w:tc>
          <w:tcPr>
            <w:tcW w:w="1699" w:type="dxa"/>
          </w:tcPr>
          <w:p>
            <w:pPr>
              <w:pStyle w:val="TableParagraph"/>
              <w:rPr>
                <w:rFonts w:ascii="Times New Roman"/>
                <w:sz w:val="20"/>
              </w:rPr>
            </w:pPr>
          </w:p>
        </w:tc>
        <w:tc>
          <w:tcPr>
            <w:tcW w:w="2976" w:type="dxa"/>
          </w:tcPr>
          <w:p>
            <w:pPr>
              <w:pStyle w:val="TableParagraph"/>
              <w:rPr>
                <w:rFonts w:ascii="Times New Roman"/>
                <w:sz w:val="20"/>
              </w:rPr>
            </w:pPr>
          </w:p>
        </w:tc>
        <w:tc>
          <w:tcPr>
            <w:tcW w:w="2318" w:type="dxa"/>
          </w:tcPr>
          <w:p>
            <w:pPr>
              <w:pStyle w:val="TableParagraph"/>
              <w:rPr>
                <w:rFonts w:ascii="Times New Roman"/>
                <w:sz w:val="20"/>
              </w:rPr>
            </w:pPr>
          </w:p>
        </w:tc>
        <w:tc>
          <w:tcPr>
            <w:tcW w:w="2318" w:type="dxa"/>
          </w:tcPr>
          <w:p>
            <w:pPr>
              <w:pStyle w:val="TableParagraph"/>
              <w:rPr>
                <w:rFonts w:ascii="Times New Roman"/>
                <w:sz w:val="20"/>
              </w:rPr>
            </w:pPr>
          </w:p>
        </w:tc>
      </w:tr>
      <w:tr>
        <w:trPr>
          <w:trHeight w:val="301" w:hRule="atLeast"/>
        </w:trPr>
        <w:tc>
          <w:tcPr>
            <w:tcW w:w="1699" w:type="dxa"/>
          </w:tcPr>
          <w:p>
            <w:pPr>
              <w:pStyle w:val="TableParagraph"/>
              <w:rPr>
                <w:rFonts w:ascii="Times New Roman"/>
                <w:sz w:val="20"/>
              </w:rPr>
            </w:pPr>
          </w:p>
        </w:tc>
        <w:tc>
          <w:tcPr>
            <w:tcW w:w="2976" w:type="dxa"/>
          </w:tcPr>
          <w:p>
            <w:pPr>
              <w:pStyle w:val="TableParagraph"/>
              <w:rPr>
                <w:rFonts w:ascii="Times New Roman"/>
                <w:sz w:val="20"/>
              </w:rPr>
            </w:pPr>
          </w:p>
        </w:tc>
        <w:tc>
          <w:tcPr>
            <w:tcW w:w="2318" w:type="dxa"/>
          </w:tcPr>
          <w:p>
            <w:pPr>
              <w:pStyle w:val="TableParagraph"/>
              <w:rPr>
                <w:rFonts w:ascii="Times New Roman"/>
                <w:sz w:val="20"/>
              </w:rPr>
            </w:pPr>
          </w:p>
        </w:tc>
        <w:tc>
          <w:tcPr>
            <w:tcW w:w="2318" w:type="dxa"/>
          </w:tcPr>
          <w:p>
            <w:pPr>
              <w:pStyle w:val="TableParagraph"/>
              <w:rPr>
                <w:rFonts w:ascii="Times New Roman"/>
                <w:sz w:val="20"/>
              </w:rPr>
            </w:pPr>
          </w:p>
        </w:tc>
      </w:tr>
      <w:tr>
        <w:trPr>
          <w:trHeight w:val="301" w:hRule="atLeast"/>
        </w:trPr>
        <w:tc>
          <w:tcPr>
            <w:tcW w:w="1699" w:type="dxa"/>
          </w:tcPr>
          <w:p>
            <w:pPr>
              <w:pStyle w:val="TableParagraph"/>
              <w:rPr>
                <w:rFonts w:ascii="Times New Roman"/>
                <w:sz w:val="20"/>
              </w:rPr>
            </w:pPr>
          </w:p>
        </w:tc>
        <w:tc>
          <w:tcPr>
            <w:tcW w:w="2976" w:type="dxa"/>
          </w:tcPr>
          <w:p>
            <w:pPr>
              <w:pStyle w:val="TableParagraph"/>
              <w:rPr>
                <w:rFonts w:ascii="Times New Roman"/>
                <w:sz w:val="20"/>
              </w:rPr>
            </w:pPr>
          </w:p>
        </w:tc>
        <w:tc>
          <w:tcPr>
            <w:tcW w:w="2318" w:type="dxa"/>
          </w:tcPr>
          <w:p>
            <w:pPr>
              <w:pStyle w:val="TableParagraph"/>
              <w:rPr>
                <w:rFonts w:ascii="Times New Roman"/>
                <w:sz w:val="20"/>
              </w:rPr>
            </w:pPr>
          </w:p>
        </w:tc>
        <w:tc>
          <w:tcPr>
            <w:tcW w:w="2318" w:type="dxa"/>
          </w:tcPr>
          <w:p>
            <w:pPr>
              <w:pStyle w:val="TableParagraph"/>
              <w:rPr>
                <w:rFonts w:ascii="Times New Roman"/>
                <w:sz w:val="20"/>
              </w:rPr>
            </w:pPr>
          </w:p>
        </w:tc>
      </w:tr>
      <w:tr>
        <w:trPr>
          <w:trHeight w:val="302" w:hRule="atLeast"/>
        </w:trPr>
        <w:tc>
          <w:tcPr>
            <w:tcW w:w="1699" w:type="dxa"/>
          </w:tcPr>
          <w:p>
            <w:pPr>
              <w:pStyle w:val="TableParagraph"/>
              <w:spacing w:before="10"/>
              <w:ind w:left="128"/>
              <w:rPr>
                <w:b/>
                <w:sz w:val="19"/>
              </w:rPr>
            </w:pPr>
            <w:r>
              <w:rPr>
                <w:b/>
                <w:w w:val="105"/>
                <w:sz w:val="19"/>
              </w:rPr>
              <w:t>Totale</w:t>
            </w:r>
          </w:p>
        </w:tc>
        <w:tc>
          <w:tcPr>
            <w:tcW w:w="2976" w:type="dxa"/>
          </w:tcPr>
          <w:p>
            <w:pPr>
              <w:pStyle w:val="TableParagraph"/>
              <w:rPr>
                <w:rFonts w:ascii="Times New Roman"/>
                <w:sz w:val="20"/>
              </w:rPr>
            </w:pPr>
          </w:p>
        </w:tc>
        <w:tc>
          <w:tcPr>
            <w:tcW w:w="2318" w:type="dxa"/>
          </w:tcPr>
          <w:p>
            <w:pPr>
              <w:pStyle w:val="TableParagraph"/>
              <w:rPr>
                <w:rFonts w:ascii="Times New Roman"/>
                <w:sz w:val="20"/>
              </w:rPr>
            </w:pPr>
          </w:p>
        </w:tc>
        <w:tc>
          <w:tcPr>
            <w:tcW w:w="2318" w:type="dxa"/>
          </w:tcPr>
          <w:p>
            <w:pPr>
              <w:pStyle w:val="TableParagraph"/>
              <w:rPr>
                <w:rFonts w:ascii="Times New Roman"/>
                <w:sz w:val="20"/>
              </w:rPr>
            </w:pPr>
          </w:p>
        </w:tc>
      </w:tr>
    </w:tbl>
    <w:p>
      <w:pPr>
        <w:pStyle w:val="BodyText"/>
        <w:spacing w:before="9"/>
        <w:rPr>
          <w:sz w:val="30"/>
        </w:rPr>
      </w:pPr>
    </w:p>
    <w:p>
      <w:pPr>
        <w:pStyle w:val="BodyText"/>
        <w:spacing w:line="376" w:lineRule="auto" w:before="1"/>
        <w:ind w:left="124" w:right="898"/>
        <w:jc w:val="both"/>
      </w:pPr>
      <w:r>
        <w:rPr>
          <w:b/>
          <w:w w:val="105"/>
        </w:rPr>
        <w:t>DICHIARA</w:t>
      </w:r>
      <w:r>
        <w:rPr>
          <w:w w:val="105"/>
        </w:rPr>
        <w:t>, inoltre, di prendere atto del contenuto dell’allegata informativa e di conoscere tutte le disposizioni di cui al REG (UE)1407/2013 ed in particolare di quanto disposto dall’art. 3 e dall’ art. 5;</w:t>
      </w:r>
    </w:p>
    <w:p>
      <w:pPr>
        <w:pStyle w:val="BodyText"/>
        <w:rPr>
          <w:sz w:val="30"/>
        </w:rPr>
      </w:pPr>
    </w:p>
    <w:p>
      <w:pPr>
        <w:spacing w:before="0"/>
        <w:ind w:left="237" w:right="0" w:firstLine="0"/>
        <w:jc w:val="left"/>
        <w:rPr>
          <w:rFonts w:ascii="Century Gothic"/>
          <w:b/>
          <w:i/>
          <w:sz w:val="17"/>
        </w:rPr>
      </w:pPr>
      <w:r>
        <w:rPr>
          <w:rFonts w:ascii="Century Gothic"/>
          <w:b/>
          <w:i/>
          <w:w w:val="105"/>
          <w:sz w:val="17"/>
        </w:rPr>
        <w:t>Informativa ai sensi del decreto legislativo 196/2003, articolo 13:</w:t>
      </w:r>
    </w:p>
    <w:p>
      <w:pPr>
        <w:pStyle w:val="BodyText"/>
        <w:spacing w:line="376" w:lineRule="auto" w:before="122"/>
        <w:ind w:left="124" w:right="920"/>
        <w:jc w:val="both"/>
      </w:pPr>
      <w:r>
        <w:rPr>
          <w:w w:val="105"/>
        </w:rPr>
        <w:t>Ai sensi e per gli effetti degli artt. 13 e 14 Reg (UE)679/2016, Regolamento europeo sulla protezione dei dati, i dati personali raccolti saranno trattati anche con strumenti informatici, esclusivamente nell’ambito del procedimento per il quale tali dichiarazioni vengono rese. L’interessato ha diritto di accesso ai dati personali e ad ottenere le informazioni previste ai sensi dell’art. 15 del Reg (UE)679/2016.</w:t>
      </w:r>
    </w:p>
    <w:p>
      <w:pPr>
        <w:pStyle w:val="BodyText"/>
        <w:tabs>
          <w:tab w:pos="4642" w:val="left" w:leader="none"/>
        </w:tabs>
        <w:spacing w:line="376" w:lineRule="auto" w:before="3"/>
        <w:ind w:left="124" w:right="919"/>
        <w:jc w:val="both"/>
      </w:pPr>
      <w:r>
        <w:rPr>
          <w:w w:val="105"/>
        </w:rPr>
        <w:t>“Il</w:t>
      </w:r>
      <w:r>
        <w:rPr>
          <w:spacing w:val="2"/>
          <w:w w:val="105"/>
        </w:rPr>
        <w:t> </w:t>
      </w:r>
      <w:r>
        <w:rPr>
          <w:w w:val="105"/>
        </w:rPr>
        <w:t>sottoscritto</w:t>
      </w:r>
      <w:r>
        <w:rPr>
          <w:w w:val="105"/>
          <w:u w:val="single"/>
        </w:rPr>
        <w:t> </w:t>
        <w:tab/>
      </w:r>
      <w:r>
        <w:rPr>
          <w:w w:val="105"/>
        </w:rPr>
        <w:t>dichiara di avere ricevuto le informazioni di cui all’art.13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w:t>
      </w:r>
      <w:r>
        <w:rPr>
          <w:spacing w:val="2"/>
          <w:w w:val="105"/>
        </w:rPr>
        <w:t> </w:t>
      </w:r>
      <w:r>
        <w:rPr>
          <w:w w:val="105"/>
        </w:rPr>
        <w:t>all’informativa.”</w:t>
      </w:r>
    </w:p>
    <w:p>
      <w:pPr>
        <w:pStyle w:val="BodyText"/>
        <w:rPr>
          <w:sz w:val="26"/>
        </w:rPr>
      </w:pPr>
    </w:p>
    <w:p>
      <w:pPr>
        <w:pStyle w:val="BodyText"/>
        <w:spacing w:before="8"/>
        <w:rPr>
          <w:sz w:val="20"/>
        </w:rPr>
      </w:pPr>
    </w:p>
    <w:p>
      <w:pPr>
        <w:spacing w:before="0"/>
        <w:ind w:left="237" w:right="0" w:firstLine="0"/>
        <w:jc w:val="left"/>
        <w:rPr>
          <w:rFonts w:ascii="Century Gothic"/>
          <w:b/>
          <w:i/>
          <w:sz w:val="19"/>
        </w:rPr>
      </w:pPr>
      <w:r>
        <w:rPr>
          <w:rFonts w:ascii="Century Gothic"/>
          <w:b/>
          <w:i/>
          <w:w w:val="105"/>
          <w:sz w:val="19"/>
        </w:rPr>
        <w:t>Luogo e data</w:t>
      </w:r>
    </w:p>
    <w:p>
      <w:pPr>
        <w:spacing w:after="0"/>
        <w:jc w:val="left"/>
        <w:rPr>
          <w:rFonts w:ascii="Century Gothic"/>
          <w:sz w:val="19"/>
        </w:rPr>
        <w:sectPr>
          <w:pgSz w:w="11910" w:h="16840"/>
          <w:pgMar w:header="717" w:footer="0" w:top="1700" w:bottom="280" w:left="1020" w:right="200"/>
        </w:sectPr>
      </w:pPr>
    </w:p>
    <w:p>
      <w:pPr>
        <w:spacing w:before="15"/>
        <w:ind w:left="5193" w:right="0" w:firstLine="0"/>
        <w:jc w:val="left"/>
        <w:rPr>
          <w:rFonts w:ascii="Century Gothic"/>
          <w:b/>
          <w:i/>
          <w:sz w:val="19"/>
        </w:rPr>
      </w:pPr>
      <w:r>
        <w:rPr>
          <w:rFonts w:ascii="Century Gothic"/>
          <w:b/>
          <w:i/>
          <w:w w:val="105"/>
          <w:sz w:val="19"/>
        </w:rPr>
        <w:t>Firma per esteso del legale rappresentante</w:t>
      </w:r>
    </w:p>
    <w:p>
      <w:pPr>
        <w:spacing w:before="132"/>
        <w:ind w:left="6496" w:right="0" w:firstLine="0"/>
        <w:jc w:val="left"/>
        <w:rPr>
          <w:rFonts w:ascii="Century Gothic" w:hAnsi="Century Gothic"/>
          <w:b/>
          <w:i/>
          <w:sz w:val="19"/>
        </w:rPr>
      </w:pPr>
      <w:r>
        <w:rPr>
          <w:rFonts w:ascii="Century Gothic" w:hAnsi="Century Gothic"/>
          <w:b/>
          <w:i/>
          <w:w w:val="105"/>
          <w:sz w:val="19"/>
        </w:rPr>
        <w:t>e timbro dell’impresa</w:t>
      </w:r>
    </w:p>
    <w:p>
      <w:pPr>
        <w:pStyle w:val="BodyText"/>
        <w:rPr>
          <w:rFonts w:ascii="Century Gothic"/>
          <w:b/>
          <w:i/>
          <w:sz w:val="24"/>
        </w:rPr>
      </w:pPr>
    </w:p>
    <w:p>
      <w:pPr>
        <w:pStyle w:val="BodyText"/>
        <w:rPr>
          <w:rFonts w:ascii="Century Gothic"/>
          <w:b/>
          <w:i/>
          <w:sz w:val="24"/>
        </w:rPr>
      </w:pPr>
    </w:p>
    <w:p>
      <w:pPr>
        <w:spacing w:line="232" w:lineRule="exact" w:before="167"/>
        <w:ind w:left="124" w:right="0" w:firstLine="0"/>
        <w:jc w:val="left"/>
        <w:rPr>
          <w:rFonts w:ascii="Century Gothic" w:hAnsi="Century Gothic"/>
          <w:sz w:val="19"/>
        </w:rPr>
      </w:pPr>
      <w:r>
        <w:rPr>
          <w:rFonts w:ascii="Century Gothic" w:hAnsi="Century Gothic"/>
          <w:w w:val="105"/>
          <w:sz w:val="19"/>
        </w:rPr>
        <w:t>Ai sensi dell'articolo 38 del D.P.R. 445 del 28 dicembre 2000, la presente dichiarazione è stata:</w:t>
      </w:r>
    </w:p>
    <w:p>
      <w:pPr>
        <w:pStyle w:val="ListParagraph"/>
        <w:numPr>
          <w:ilvl w:val="0"/>
          <w:numId w:val="6"/>
        </w:numPr>
        <w:tabs>
          <w:tab w:pos="905" w:val="left" w:leader="none"/>
        </w:tabs>
        <w:spacing w:line="342" w:lineRule="exact" w:before="0" w:after="0"/>
        <w:ind w:left="904" w:right="0" w:hanging="361"/>
        <w:jc w:val="both"/>
        <w:rPr>
          <w:rFonts w:ascii="Century Gothic" w:hAnsi="Century Gothic"/>
          <w:sz w:val="19"/>
        </w:rPr>
      </w:pPr>
      <w:r>
        <w:rPr>
          <w:rFonts w:ascii="Century Gothic" w:hAnsi="Century Gothic"/>
          <w:w w:val="105"/>
          <w:sz w:val="19"/>
        </w:rPr>
        <w:t>sottoscritta, previa identificazione del richiedente, in presenza del dipendente</w:t>
      </w:r>
      <w:r>
        <w:rPr>
          <w:rFonts w:ascii="Century Gothic" w:hAnsi="Century Gothic"/>
          <w:spacing w:val="-32"/>
          <w:w w:val="105"/>
          <w:sz w:val="19"/>
        </w:rPr>
        <w:t> </w:t>
      </w:r>
      <w:r>
        <w:rPr>
          <w:rFonts w:ascii="Century Gothic" w:hAnsi="Century Gothic"/>
          <w:w w:val="105"/>
          <w:sz w:val="19"/>
        </w:rPr>
        <w:t>addetto</w:t>
      </w:r>
    </w:p>
    <w:p>
      <w:pPr>
        <w:tabs>
          <w:tab w:pos="9680" w:val="left" w:leader="none"/>
        </w:tabs>
        <w:spacing w:before="242"/>
        <w:ind w:left="544" w:right="0" w:firstLine="0"/>
        <w:jc w:val="left"/>
        <w:rPr>
          <w:rFonts w:ascii="Century Gothic"/>
          <w:i/>
          <w:sz w:val="19"/>
        </w:rPr>
      </w:pPr>
      <w:r>
        <w:rPr>
          <w:rFonts w:ascii="Century Gothic"/>
          <w:i/>
          <w:w w:val="105"/>
          <w:sz w:val="19"/>
        </w:rPr>
        <w:t>(indicare in stampatello il nome del</w:t>
      </w:r>
      <w:r>
        <w:rPr>
          <w:rFonts w:ascii="Century Gothic"/>
          <w:i/>
          <w:spacing w:val="-22"/>
          <w:w w:val="105"/>
          <w:sz w:val="19"/>
        </w:rPr>
        <w:t> </w:t>
      </w:r>
      <w:r>
        <w:rPr>
          <w:rFonts w:ascii="Century Gothic"/>
          <w:i/>
          <w:w w:val="105"/>
          <w:sz w:val="19"/>
        </w:rPr>
        <w:t>dipendente)</w:t>
      </w:r>
      <w:r>
        <w:rPr>
          <w:rFonts w:ascii="Century Gothic"/>
          <w:i/>
          <w:spacing w:val="3"/>
          <w:sz w:val="19"/>
        </w:rPr>
        <w:t> </w:t>
      </w:r>
      <w:r>
        <w:rPr>
          <w:rFonts w:ascii="Century Gothic"/>
          <w:i/>
          <w:w w:val="103"/>
          <w:sz w:val="19"/>
          <w:u w:val="single"/>
        </w:rPr>
        <w:t> </w:t>
      </w:r>
      <w:r>
        <w:rPr>
          <w:rFonts w:ascii="Century Gothic"/>
          <w:i/>
          <w:sz w:val="19"/>
          <w:u w:val="single"/>
        </w:rPr>
        <w:tab/>
      </w:r>
    </w:p>
    <w:p>
      <w:pPr>
        <w:pStyle w:val="BodyText"/>
        <w:rPr>
          <w:rFonts w:ascii="Century Gothic"/>
          <w:i/>
          <w:sz w:val="20"/>
        </w:rPr>
      </w:pPr>
    </w:p>
    <w:p>
      <w:pPr>
        <w:pStyle w:val="ListParagraph"/>
        <w:numPr>
          <w:ilvl w:val="0"/>
          <w:numId w:val="6"/>
        </w:numPr>
        <w:tabs>
          <w:tab w:pos="905" w:val="left" w:leader="none"/>
        </w:tabs>
        <w:spacing w:line="237" w:lineRule="auto" w:before="1" w:after="0"/>
        <w:ind w:left="904" w:right="964" w:hanging="360"/>
        <w:jc w:val="left"/>
        <w:rPr>
          <w:rFonts w:ascii="Century Gothic" w:hAnsi="Century Gothic"/>
          <w:sz w:val="19"/>
        </w:rPr>
      </w:pPr>
      <w:r>
        <w:rPr>
          <w:rFonts w:ascii="Century Gothic" w:hAnsi="Century Gothic"/>
          <w:w w:val="105"/>
          <w:sz w:val="19"/>
        </w:rPr>
        <w:t>sottoscritta e presentata unitamente a copia fotostatica non autenticata di un </w:t>
      </w:r>
      <w:r>
        <w:rPr>
          <w:rFonts w:ascii="Century Gothic" w:hAnsi="Century Gothic"/>
          <w:spacing w:val="-10"/>
          <w:w w:val="105"/>
          <w:sz w:val="19"/>
        </w:rPr>
        <w:t>documento </w:t>
      </w:r>
      <w:r>
        <w:rPr>
          <w:rFonts w:ascii="Century Gothic" w:hAnsi="Century Gothic"/>
          <w:w w:val="105"/>
          <w:sz w:val="19"/>
        </w:rPr>
        <w:t>di identità del</w:t>
      </w:r>
      <w:r>
        <w:rPr>
          <w:rFonts w:ascii="Century Gothic" w:hAnsi="Century Gothic"/>
          <w:spacing w:val="-7"/>
          <w:w w:val="105"/>
          <w:sz w:val="19"/>
        </w:rPr>
        <w:t> </w:t>
      </w:r>
      <w:r>
        <w:rPr>
          <w:rFonts w:ascii="Century Gothic" w:hAnsi="Century Gothic"/>
          <w:w w:val="105"/>
          <w:sz w:val="19"/>
        </w:rPr>
        <w:t>sottoscrittore.</w:t>
      </w:r>
    </w:p>
    <w:p>
      <w:pPr>
        <w:pStyle w:val="BodyText"/>
        <w:rPr>
          <w:rFonts w:ascii="Century Gothic"/>
          <w:sz w:val="24"/>
        </w:rPr>
      </w:pPr>
    </w:p>
    <w:p>
      <w:pPr>
        <w:pStyle w:val="BodyText"/>
        <w:rPr>
          <w:rFonts w:ascii="Century Gothic"/>
          <w:sz w:val="27"/>
        </w:rPr>
      </w:pPr>
    </w:p>
    <w:p>
      <w:pPr>
        <w:spacing w:before="0"/>
        <w:ind w:left="124" w:right="0" w:firstLine="0"/>
        <w:jc w:val="left"/>
        <w:rPr>
          <w:rFonts w:ascii="Century Gothic"/>
          <w:b/>
          <w:i/>
          <w:sz w:val="19"/>
        </w:rPr>
      </w:pPr>
      <w:r>
        <w:rPr>
          <w:rFonts w:ascii="Century Gothic"/>
          <w:b/>
          <w:i/>
          <w:w w:val="105"/>
          <w:sz w:val="19"/>
        </w:rPr>
        <w:t>ALLEGATO- Informativa</w:t>
      </w:r>
    </w:p>
    <w:p>
      <w:pPr>
        <w:pStyle w:val="BodyText"/>
        <w:spacing w:before="8"/>
        <w:rPr>
          <w:rFonts w:ascii="Century Gothic"/>
          <w:b/>
          <w:i/>
          <w:sz w:val="20"/>
        </w:rPr>
      </w:pPr>
    </w:p>
    <w:p>
      <w:pPr>
        <w:pStyle w:val="ListParagraph"/>
        <w:numPr>
          <w:ilvl w:val="0"/>
          <w:numId w:val="7"/>
        </w:numPr>
        <w:tabs>
          <w:tab w:pos="908" w:val="left" w:leader="none"/>
        </w:tabs>
        <w:spacing w:line="252" w:lineRule="auto" w:before="0" w:after="0"/>
        <w:ind w:left="664" w:right="919" w:firstLine="0"/>
        <w:jc w:val="both"/>
        <w:rPr>
          <w:rFonts w:ascii="Century Gothic" w:hAnsi="Century Gothic"/>
          <w:sz w:val="19"/>
        </w:rPr>
      </w:pPr>
      <w:r>
        <w:rPr>
          <w:w w:val="105"/>
          <w:sz w:val="21"/>
        </w:rPr>
        <w:t>Le agevolazioni di cui al provvedimento indicato nella dichiarazione sono soggette al regime “de minimis” di cui al Regolamento (CE) n. 1407/2013 della Commissione, del 18 dicembre 2013, relativo all’applicazione degli articoli 107 e 108 del trattato sul funzionamento dell’Unione europea agli aiuti d’importanza minore («de minimis»)– G.U.U.E. 24/12/2013, n. L 352 e non devono essere preventivamente notificate alla U.E. purché soddisfino le condizioni stabilite dal predetto regolamento. Qualora tali condizioni non siano soddisfatte l’agevolazione eventualmente concessa dovrà essere</w:t>
      </w:r>
      <w:r>
        <w:rPr>
          <w:spacing w:val="3"/>
          <w:w w:val="105"/>
          <w:sz w:val="21"/>
        </w:rPr>
        <w:t> </w:t>
      </w:r>
      <w:r>
        <w:rPr>
          <w:w w:val="105"/>
          <w:sz w:val="21"/>
        </w:rPr>
        <w:t>restituita.</w:t>
      </w:r>
    </w:p>
    <w:p>
      <w:pPr>
        <w:pStyle w:val="ListParagraph"/>
        <w:numPr>
          <w:ilvl w:val="0"/>
          <w:numId w:val="7"/>
        </w:numPr>
        <w:tabs>
          <w:tab w:pos="885" w:val="left" w:leader="none"/>
        </w:tabs>
        <w:spacing w:line="252" w:lineRule="auto" w:before="194" w:after="0"/>
        <w:ind w:left="664" w:right="968" w:firstLine="0"/>
        <w:jc w:val="both"/>
        <w:rPr>
          <w:sz w:val="21"/>
        </w:rPr>
      </w:pPr>
      <w:r>
        <w:rPr>
          <w:w w:val="105"/>
          <w:sz w:val="21"/>
        </w:rPr>
        <w:t>L’importo</w:t>
      </w:r>
      <w:r>
        <w:rPr>
          <w:spacing w:val="-4"/>
          <w:w w:val="105"/>
          <w:sz w:val="21"/>
        </w:rPr>
        <w:t> </w:t>
      </w:r>
      <w:r>
        <w:rPr>
          <w:w w:val="105"/>
          <w:sz w:val="21"/>
        </w:rPr>
        <w:t>complessivo</w:t>
      </w:r>
      <w:r>
        <w:rPr>
          <w:spacing w:val="-3"/>
          <w:w w:val="105"/>
          <w:sz w:val="21"/>
        </w:rPr>
        <w:t> </w:t>
      </w:r>
      <w:r>
        <w:rPr>
          <w:w w:val="105"/>
          <w:sz w:val="21"/>
        </w:rPr>
        <w:t>degli</w:t>
      </w:r>
      <w:r>
        <w:rPr>
          <w:spacing w:val="-5"/>
          <w:w w:val="105"/>
          <w:sz w:val="21"/>
        </w:rPr>
        <w:t> </w:t>
      </w:r>
      <w:r>
        <w:rPr>
          <w:w w:val="105"/>
          <w:sz w:val="21"/>
        </w:rPr>
        <w:t>aiuti</w:t>
      </w:r>
      <w:r>
        <w:rPr>
          <w:spacing w:val="-4"/>
          <w:w w:val="105"/>
          <w:sz w:val="21"/>
        </w:rPr>
        <w:t> </w:t>
      </w:r>
      <w:r>
        <w:rPr>
          <w:w w:val="105"/>
          <w:sz w:val="21"/>
        </w:rPr>
        <w:t>«de</w:t>
      </w:r>
      <w:r>
        <w:rPr>
          <w:spacing w:val="-3"/>
          <w:w w:val="105"/>
          <w:sz w:val="21"/>
        </w:rPr>
        <w:t> </w:t>
      </w:r>
      <w:r>
        <w:rPr>
          <w:w w:val="105"/>
          <w:sz w:val="21"/>
        </w:rPr>
        <w:t>minimis»</w:t>
      </w:r>
      <w:r>
        <w:rPr>
          <w:spacing w:val="-4"/>
          <w:w w:val="105"/>
          <w:sz w:val="21"/>
        </w:rPr>
        <w:t> </w:t>
      </w:r>
      <w:r>
        <w:rPr>
          <w:w w:val="105"/>
          <w:sz w:val="21"/>
        </w:rPr>
        <w:t>concessi</w:t>
      </w:r>
      <w:r>
        <w:rPr>
          <w:spacing w:val="-4"/>
          <w:w w:val="105"/>
          <w:sz w:val="21"/>
        </w:rPr>
        <w:t> </w:t>
      </w:r>
      <w:r>
        <w:rPr>
          <w:w w:val="105"/>
          <w:sz w:val="21"/>
        </w:rPr>
        <w:t>a</w:t>
      </w:r>
      <w:r>
        <w:rPr>
          <w:spacing w:val="-3"/>
          <w:w w:val="105"/>
          <w:sz w:val="21"/>
        </w:rPr>
        <w:t> </w:t>
      </w:r>
      <w:r>
        <w:rPr>
          <w:w w:val="105"/>
          <w:sz w:val="21"/>
        </w:rPr>
        <w:t>un’impresa</w:t>
      </w:r>
      <w:r>
        <w:rPr>
          <w:spacing w:val="-4"/>
          <w:w w:val="105"/>
          <w:sz w:val="21"/>
        </w:rPr>
        <w:t> </w:t>
      </w:r>
      <w:r>
        <w:rPr>
          <w:w w:val="105"/>
          <w:sz w:val="21"/>
        </w:rPr>
        <w:t>unica</w:t>
      </w:r>
      <w:r>
        <w:rPr>
          <w:b/>
          <w:w w:val="105"/>
          <w:sz w:val="21"/>
          <w:vertAlign w:val="superscript"/>
        </w:rPr>
        <w:t>2</w:t>
      </w:r>
      <w:r>
        <w:rPr>
          <w:b/>
          <w:spacing w:val="-3"/>
          <w:w w:val="105"/>
          <w:sz w:val="21"/>
          <w:vertAlign w:val="baseline"/>
        </w:rPr>
        <w:t> </w:t>
      </w:r>
      <w:r>
        <w:rPr>
          <w:w w:val="105"/>
          <w:sz w:val="21"/>
          <w:vertAlign w:val="baseline"/>
        </w:rPr>
        <w:t>non</w:t>
      </w:r>
      <w:r>
        <w:rPr>
          <w:spacing w:val="-3"/>
          <w:w w:val="105"/>
          <w:sz w:val="21"/>
          <w:vertAlign w:val="baseline"/>
        </w:rPr>
        <w:t> </w:t>
      </w:r>
      <w:r>
        <w:rPr>
          <w:w w:val="105"/>
          <w:sz w:val="21"/>
          <w:vertAlign w:val="baseline"/>
        </w:rPr>
        <w:t>può</w:t>
      </w:r>
      <w:r>
        <w:rPr>
          <w:spacing w:val="-4"/>
          <w:w w:val="105"/>
          <w:sz w:val="21"/>
          <w:vertAlign w:val="baseline"/>
        </w:rPr>
        <w:t> </w:t>
      </w:r>
      <w:r>
        <w:rPr>
          <w:w w:val="105"/>
          <w:sz w:val="21"/>
          <w:vertAlign w:val="baseline"/>
        </w:rPr>
        <w:t>superare</w:t>
      </w:r>
      <w:r>
        <w:rPr>
          <w:spacing w:val="-3"/>
          <w:w w:val="105"/>
          <w:sz w:val="21"/>
          <w:vertAlign w:val="baseline"/>
        </w:rPr>
        <w:t> </w:t>
      </w:r>
      <w:r>
        <w:rPr>
          <w:w w:val="105"/>
          <w:sz w:val="21"/>
          <w:vertAlign w:val="baseline"/>
        </w:rPr>
        <w:t>200 000 EUR nell’arco di tre esercizi</w:t>
      </w:r>
      <w:r>
        <w:rPr>
          <w:spacing w:val="6"/>
          <w:w w:val="105"/>
          <w:sz w:val="21"/>
          <w:vertAlign w:val="baseline"/>
        </w:rPr>
        <w:t> </w:t>
      </w:r>
      <w:r>
        <w:rPr>
          <w:w w:val="105"/>
          <w:sz w:val="21"/>
          <w:vertAlign w:val="baseline"/>
        </w:rPr>
        <w:t>finanziari.</w:t>
      </w:r>
    </w:p>
    <w:p>
      <w:pPr>
        <w:pStyle w:val="ListParagraph"/>
        <w:numPr>
          <w:ilvl w:val="0"/>
          <w:numId w:val="7"/>
        </w:numPr>
        <w:tabs>
          <w:tab w:pos="898" w:val="left" w:leader="none"/>
        </w:tabs>
        <w:spacing w:line="249" w:lineRule="auto" w:before="201" w:after="0"/>
        <w:ind w:left="664" w:right="921" w:firstLine="0"/>
        <w:jc w:val="both"/>
        <w:rPr>
          <w:sz w:val="21"/>
        </w:rPr>
      </w:pPr>
      <w:r>
        <w:rPr>
          <w:w w:val="105"/>
          <w:sz w:val="21"/>
        </w:rPr>
        <w:t>Il rispetto del massimale viene verificato sommando l’agevolazione concessa ai sensi del presente provvedimento con quelle in regime “de minimis” concessi a norma di altri regolamenti de minimis o del reg (UE) 360/12</w:t>
      </w:r>
      <w:r>
        <w:rPr>
          <w:w w:val="105"/>
          <w:sz w:val="21"/>
          <w:vertAlign w:val="superscript"/>
        </w:rPr>
        <w:t>3</w:t>
      </w:r>
      <w:r>
        <w:rPr>
          <w:w w:val="105"/>
          <w:sz w:val="21"/>
          <w:vertAlign w:val="baseline"/>
        </w:rPr>
        <w:t> ottenute dal beneficiario nell’esercizio finanziario in cui è concessa l’agevolazione e nei due esercizi fiscali precedenti. Qualora l’agevolazione concessa superi il massimale, questa non può beneficiare dell’esenzione prevista dal Regolamento nemmeno </w:t>
      </w:r>
      <w:r>
        <w:rPr>
          <w:spacing w:val="2"/>
          <w:w w:val="105"/>
          <w:sz w:val="21"/>
          <w:vertAlign w:val="baseline"/>
        </w:rPr>
        <w:t>per </w:t>
      </w:r>
      <w:r>
        <w:rPr>
          <w:w w:val="105"/>
          <w:sz w:val="21"/>
          <w:vertAlign w:val="baseline"/>
        </w:rPr>
        <w:t>la parte al di sotto di detto massimale e deve essere interamente</w:t>
      </w:r>
      <w:r>
        <w:rPr>
          <w:spacing w:val="5"/>
          <w:w w:val="105"/>
          <w:sz w:val="21"/>
          <w:vertAlign w:val="baseline"/>
        </w:rPr>
        <w:t> </w:t>
      </w:r>
      <w:r>
        <w:rPr>
          <w:w w:val="105"/>
          <w:sz w:val="21"/>
          <w:vertAlign w:val="baseline"/>
        </w:rPr>
        <w:t>restituita.</w:t>
      </w:r>
    </w:p>
    <w:p>
      <w:pPr>
        <w:pStyle w:val="ListParagraph"/>
        <w:numPr>
          <w:ilvl w:val="0"/>
          <w:numId w:val="7"/>
        </w:numPr>
        <w:tabs>
          <w:tab w:pos="889" w:val="left" w:leader="none"/>
        </w:tabs>
        <w:spacing w:line="252" w:lineRule="auto" w:before="210" w:after="0"/>
        <w:ind w:left="664" w:right="922" w:firstLine="0"/>
        <w:jc w:val="both"/>
        <w:rPr>
          <w:sz w:val="21"/>
        </w:rPr>
      </w:pPr>
      <w:r>
        <w:rPr>
          <w:w w:val="105"/>
          <w:sz w:val="21"/>
        </w:rPr>
        <w:t>Gli aiuti «de minimis» non sono cumulabili con aiuti di Stato concessi per gli stessi costi ammissibili o con aiuti di Stato relativi alla stessa misura di finanziamento del rischio se tale cumulo comporta il superamento dell’intensità di aiuto o dell’importo di aiuto più elevati </w:t>
      </w:r>
      <w:r>
        <w:rPr>
          <w:rFonts w:ascii="Century Gothic" w:hAnsi="Century Gothic"/>
          <w:w w:val="105"/>
          <w:sz w:val="19"/>
        </w:rPr>
        <w:t>fissati, per le</w:t>
      </w:r>
      <w:r>
        <w:rPr>
          <w:rFonts w:ascii="Century Gothic" w:hAnsi="Century Gothic"/>
          <w:spacing w:val="13"/>
          <w:w w:val="105"/>
          <w:sz w:val="19"/>
        </w:rPr>
        <w:t> </w:t>
      </w:r>
      <w:r>
        <w:rPr>
          <w:rFonts w:ascii="Century Gothic" w:hAnsi="Century Gothic"/>
          <w:w w:val="105"/>
          <w:sz w:val="19"/>
        </w:rPr>
        <w:t>specifiche</w:t>
      </w:r>
    </w:p>
    <w:p>
      <w:pPr>
        <w:pStyle w:val="BodyText"/>
        <w:spacing w:before="8"/>
        <w:rPr>
          <w:rFonts w:ascii="Century Gothic"/>
          <w:sz w:val="10"/>
        </w:rPr>
      </w:pPr>
      <w:r>
        <w:rPr/>
        <w:pict>
          <v:line style="position:absolute;mso-position-horizontal-relative:page;mso-position-vertical-relative:paragraph;z-index:-251656192;mso-wrap-distance-left:0;mso-wrap-distance-right:0" from="57.2239pt,8.754595pt" to="201.22390pt,8.754595pt" stroked="true" strokeweight=".48pt" strokecolor="#000000">
            <v:stroke dashstyle="solid"/>
            <w10:wrap type="topAndBottom"/>
          </v:line>
        </w:pict>
      </w:r>
    </w:p>
    <w:p>
      <w:pPr>
        <w:pStyle w:val="BodyText"/>
        <w:spacing w:before="4"/>
        <w:rPr>
          <w:rFonts w:ascii="Century Gothic"/>
          <w:sz w:val="18"/>
        </w:rPr>
      </w:pPr>
    </w:p>
    <w:p>
      <w:pPr>
        <w:spacing w:before="98"/>
        <w:ind w:left="124" w:right="0" w:firstLine="0"/>
        <w:jc w:val="left"/>
        <w:rPr>
          <w:rFonts w:ascii="Century Gothic" w:hAnsi="Century Gothic"/>
          <w:sz w:val="16"/>
        </w:rPr>
      </w:pPr>
      <w:r>
        <w:rPr>
          <w:rFonts w:ascii="Century Gothic" w:hAnsi="Century Gothic"/>
          <w:position w:val="4"/>
          <w:sz w:val="9"/>
        </w:rPr>
        <w:t>2</w:t>
      </w:r>
      <w:r>
        <w:rPr>
          <w:rFonts w:ascii="Century Gothic" w:hAnsi="Century Gothic"/>
          <w:sz w:val="16"/>
        </w:rPr>
        <w:t>Per «impresa unica» si intende l’insieme delle imprese fra le quali esiste almeno una delle relazioni seguenti:</w:t>
      </w:r>
    </w:p>
    <w:p>
      <w:pPr>
        <w:pStyle w:val="BodyText"/>
        <w:rPr>
          <w:rFonts w:ascii="Century Gothic"/>
          <w:sz w:val="20"/>
        </w:rPr>
      </w:pPr>
    </w:p>
    <w:p>
      <w:pPr>
        <w:pStyle w:val="ListParagraph"/>
        <w:numPr>
          <w:ilvl w:val="0"/>
          <w:numId w:val="8"/>
        </w:numPr>
        <w:tabs>
          <w:tab w:pos="338" w:val="left" w:leader="none"/>
        </w:tabs>
        <w:spacing w:line="240" w:lineRule="auto" w:before="1" w:after="0"/>
        <w:ind w:left="337" w:right="0" w:hanging="214"/>
        <w:jc w:val="left"/>
        <w:rPr>
          <w:rFonts w:ascii="Century Gothic" w:hAnsi="Century Gothic"/>
          <w:sz w:val="16"/>
        </w:rPr>
      </w:pPr>
      <w:r>
        <w:rPr>
          <w:rFonts w:ascii="Century Gothic" w:hAnsi="Century Gothic"/>
          <w:sz w:val="16"/>
        </w:rPr>
        <w:t>un’impresa detiene la maggioranza dei diritti di voto degli azionisti o soci di un’altra</w:t>
      </w:r>
      <w:r>
        <w:rPr>
          <w:rFonts w:ascii="Century Gothic" w:hAnsi="Century Gothic"/>
          <w:spacing w:val="-1"/>
          <w:sz w:val="16"/>
        </w:rPr>
        <w:t> </w:t>
      </w:r>
      <w:r>
        <w:rPr>
          <w:rFonts w:ascii="Century Gothic" w:hAnsi="Century Gothic"/>
          <w:sz w:val="16"/>
        </w:rPr>
        <w:t>impresa;</w:t>
      </w:r>
    </w:p>
    <w:p>
      <w:pPr>
        <w:pStyle w:val="ListParagraph"/>
        <w:numPr>
          <w:ilvl w:val="0"/>
          <w:numId w:val="8"/>
        </w:numPr>
        <w:tabs>
          <w:tab w:pos="349" w:val="left" w:leader="none"/>
        </w:tabs>
        <w:spacing w:line="288" w:lineRule="auto" w:before="106" w:after="0"/>
        <w:ind w:left="124" w:right="923" w:firstLine="0"/>
        <w:jc w:val="left"/>
        <w:rPr>
          <w:rFonts w:ascii="Century Gothic" w:hAnsi="Century Gothic"/>
          <w:sz w:val="16"/>
        </w:rPr>
      </w:pPr>
      <w:r>
        <w:rPr>
          <w:rFonts w:ascii="Century Gothic" w:hAnsi="Century Gothic"/>
          <w:sz w:val="16"/>
        </w:rPr>
        <w:t>un’impresa ha il diritto di nominare o revocare la maggioranza dei membri del consiglio di amministrazione, direzione o sorveglianza di un’altra</w:t>
      </w:r>
      <w:r>
        <w:rPr>
          <w:rFonts w:ascii="Century Gothic" w:hAnsi="Century Gothic"/>
          <w:spacing w:val="1"/>
          <w:sz w:val="16"/>
        </w:rPr>
        <w:t> </w:t>
      </w:r>
      <w:r>
        <w:rPr>
          <w:rFonts w:ascii="Century Gothic" w:hAnsi="Century Gothic"/>
          <w:sz w:val="16"/>
        </w:rPr>
        <w:t>impresa;</w:t>
      </w:r>
    </w:p>
    <w:p>
      <w:pPr>
        <w:pStyle w:val="ListParagraph"/>
        <w:numPr>
          <w:ilvl w:val="0"/>
          <w:numId w:val="8"/>
        </w:numPr>
        <w:tabs>
          <w:tab w:pos="359" w:val="left" w:leader="none"/>
        </w:tabs>
        <w:spacing w:line="288" w:lineRule="auto" w:before="71" w:after="0"/>
        <w:ind w:left="124" w:right="921" w:firstLine="0"/>
        <w:jc w:val="left"/>
        <w:rPr>
          <w:rFonts w:ascii="Century Gothic" w:hAnsi="Century Gothic"/>
          <w:sz w:val="16"/>
        </w:rPr>
      </w:pPr>
      <w:r>
        <w:rPr>
          <w:rFonts w:ascii="Century Gothic" w:hAnsi="Century Gothic"/>
          <w:sz w:val="16"/>
        </w:rPr>
        <w:t>un’impresa ha il diritto di esercitare un’influenza dominante su un’altra impresa in virtù di un contratto concluso con quest’ultima oppure in virtù di una clausola dello statuto di</w:t>
      </w:r>
      <w:r>
        <w:rPr>
          <w:rFonts w:ascii="Century Gothic" w:hAnsi="Century Gothic"/>
          <w:spacing w:val="4"/>
          <w:sz w:val="16"/>
        </w:rPr>
        <w:t> </w:t>
      </w:r>
      <w:r>
        <w:rPr>
          <w:rFonts w:ascii="Century Gothic" w:hAnsi="Century Gothic"/>
          <w:sz w:val="16"/>
        </w:rPr>
        <w:t>quest’ultima;</w:t>
      </w:r>
    </w:p>
    <w:p>
      <w:pPr>
        <w:pStyle w:val="BodyText"/>
        <w:spacing w:before="10"/>
        <w:rPr>
          <w:rFonts w:ascii="Century Gothic"/>
          <w:sz w:val="16"/>
        </w:rPr>
      </w:pPr>
    </w:p>
    <w:p>
      <w:pPr>
        <w:pStyle w:val="ListParagraph"/>
        <w:numPr>
          <w:ilvl w:val="0"/>
          <w:numId w:val="8"/>
        </w:numPr>
        <w:tabs>
          <w:tab w:pos="346" w:val="left" w:leader="none"/>
        </w:tabs>
        <w:spacing w:line="288" w:lineRule="auto" w:before="0" w:after="0"/>
        <w:ind w:left="124" w:right="921" w:firstLine="0"/>
        <w:jc w:val="left"/>
        <w:rPr>
          <w:rFonts w:ascii="Century Gothic" w:hAnsi="Century Gothic"/>
          <w:sz w:val="16"/>
        </w:rPr>
      </w:pPr>
      <w:r>
        <w:rPr>
          <w:rFonts w:ascii="Century Gothic" w:hAnsi="Century Gothic"/>
          <w:sz w:val="16"/>
        </w:rPr>
        <w:t>un’impresa azionista o socia di un’altra impresa controlla da sola, in virtù di un accordo stipulato con altri azionisti o soci dell’altra impresa, la maggioranza dei diritti di voto degli azionisti o soci di</w:t>
      </w:r>
      <w:r>
        <w:rPr>
          <w:rFonts w:ascii="Century Gothic" w:hAnsi="Century Gothic"/>
          <w:spacing w:val="-2"/>
          <w:sz w:val="16"/>
        </w:rPr>
        <w:t> </w:t>
      </w:r>
      <w:r>
        <w:rPr>
          <w:rFonts w:ascii="Century Gothic" w:hAnsi="Century Gothic"/>
          <w:sz w:val="16"/>
        </w:rPr>
        <w:t>quest’ultima.</w:t>
      </w:r>
    </w:p>
    <w:p>
      <w:pPr>
        <w:pStyle w:val="BodyText"/>
        <w:spacing w:before="8"/>
        <w:rPr>
          <w:rFonts w:ascii="Century Gothic"/>
          <w:sz w:val="13"/>
        </w:rPr>
      </w:pPr>
    </w:p>
    <w:p>
      <w:pPr>
        <w:spacing w:line="240" w:lineRule="atLeast" w:before="0"/>
        <w:ind w:left="124" w:right="410" w:firstLine="0"/>
        <w:jc w:val="left"/>
        <w:rPr>
          <w:rFonts w:ascii="Century Gothic" w:hAnsi="Century Gothic"/>
          <w:sz w:val="16"/>
        </w:rPr>
      </w:pPr>
      <w:r>
        <w:rPr>
          <w:rFonts w:ascii="Century Gothic" w:hAnsi="Century Gothic"/>
          <w:sz w:val="16"/>
        </w:rPr>
        <w:t>Le imprese fra le quali intercorre una delle relazioni di cui al primo comma, lettere da a) a d), per il tramite di una o più altre imprese sono anch’esse considerate un’impresa unica.</w:t>
      </w:r>
    </w:p>
    <w:p>
      <w:pPr>
        <w:spacing w:line="216" w:lineRule="exact" w:before="0"/>
        <w:ind w:left="124" w:right="0" w:firstLine="0"/>
        <w:jc w:val="left"/>
        <w:rPr>
          <w:rFonts w:ascii="Century Gothic" w:hAnsi="Century Gothic"/>
          <w:sz w:val="16"/>
        </w:rPr>
      </w:pPr>
      <w:r>
        <w:rPr>
          <w:rFonts w:ascii="Times New Roman" w:hAnsi="Times New Roman"/>
          <w:position w:val="9"/>
          <w:sz w:val="13"/>
        </w:rPr>
        <w:t>3 </w:t>
      </w:r>
      <w:r>
        <w:rPr>
          <w:rFonts w:ascii="Century Gothic" w:hAnsi="Century Gothic"/>
          <w:sz w:val="16"/>
        </w:rPr>
        <w:t>Regolamento (UE) n. 360/2012 della Commissione, del 25 aprile 2012, relativo all’applicazione degli articoli 107 e 108 del</w:t>
      </w:r>
    </w:p>
    <w:p>
      <w:pPr>
        <w:spacing w:before="10"/>
        <w:ind w:left="124" w:right="1434" w:firstLine="0"/>
        <w:jc w:val="left"/>
        <w:rPr>
          <w:rFonts w:ascii="Century Gothic" w:hAnsi="Century Gothic"/>
          <w:sz w:val="16"/>
        </w:rPr>
      </w:pPr>
      <w:r>
        <w:rPr>
          <w:rFonts w:ascii="Century Gothic" w:hAnsi="Century Gothic"/>
          <w:sz w:val="16"/>
        </w:rPr>
        <w:t>trattato sul funzionamento dell’Unione europea agli aiuti d'importanza minore («de minimis») concessi ad imprese che forniscono servizi di interesse economico generale (GU L 114 del 26.4.2012, pag. 8).</w:t>
      </w:r>
    </w:p>
    <w:p>
      <w:pPr>
        <w:spacing w:after="0"/>
        <w:jc w:val="left"/>
        <w:rPr>
          <w:rFonts w:ascii="Century Gothic" w:hAnsi="Century Gothic"/>
          <w:sz w:val="16"/>
        </w:rPr>
        <w:sectPr>
          <w:pgSz w:w="11910" w:h="16840"/>
          <w:pgMar w:header="717" w:footer="0" w:top="1700" w:bottom="280" w:left="1020" w:right="200"/>
        </w:sectPr>
      </w:pPr>
    </w:p>
    <w:p>
      <w:pPr>
        <w:pStyle w:val="BodyText"/>
        <w:spacing w:line="252" w:lineRule="auto" w:before="16"/>
        <w:ind w:left="664" w:right="921"/>
        <w:jc w:val="both"/>
      </w:pPr>
      <w:r>
        <w:rPr>
          <w:w w:val="105"/>
        </w:rPr>
        <w:t>circostanze di ogni caso, in un regolamento d’esenzione per categoria o in una decisione adottata dalla Commissione. Gli aiuti «de minimis» che non sono concessi per specifici costi ammissibili o non sono a essi imputabili possono essere cumulati con altri aiuti di Stato concessi a norma di un regolamento d’esenzione per categoria o di una decisione adottata dalla Commissione.</w:t>
      </w:r>
    </w:p>
    <w:p>
      <w:pPr>
        <w:pStyle w:val="ListParagraph"/>
        <w:numPr>
          <w:ilvl w:val="0"/>
          <w:numId w:val="7"/>
        </w:numPr>
        <w:tabs>
          <w:tab w:pos="910" w:val="left" w:leader="none"/>
        </w:tabs>
        <w:spacing w:line="252" w:lineRule="auto" w:before="195" w:after="0"/>
        <w:ind w:left="664" w:right="923" w:firstLine="0"/>
        <w:jc w:val="both"/>
        <w:rPr>
          <w:sz w:val="21"/>
        </w:rPr>
      </w:pPr>
      <w:r>
        <w:rPr>
          <w:w w:val="105"/>
          <w:sz w:val="21"/>
        </w:rPr>
        <w:t>Equivalente Sovvenzione Netta e Lorda (ESN, ESL) L’Equivalente Sovvenzione, è l’unità di misura utilizzata per calcolare l’entità dell’aiuto erogato caso per</w:t>
      </w:r>
      <w:r>
        <w:rPr>
          <w:spacing w:val="6"/>
          <w:w w:val="105"/>
          <w:sz w:val="21"/>
        </w:rPr>
        <w:t> </w:t>
      </w:r>
      <w:r>
        <w:rPr>
          <w:w w:val="105"/>
          <w:sz w:val="21"/>
        </w:rPr>
        <w:t>caso.</w:t>
      </w:r>
    </w:p>
    <w:p>
      <w:pPr>
        <w:pStyle w:val="BodyText"/>
        <w:spacing w:line="252" w:lineRule="auto"/>
        <w:ind w:left="664" w:right="920"/>
        <w:jc w:val="both"/>
      </w:pPr>
      <w:r>
        <w:rPr>
          <w:w w:val="105"/>
        </w:rPr>
        <w:t>Per determinare l’entità dell’agevolazione occorre innanzi tutto tradurre l’aiuto, qualunque sia la sua natura (sovvenzione in conto capitale o in conto interessi) in sovvenzione in conto capitale; si deve cioè calcolare l’elemento vantaggio dell’aiuto, tenendo conto, ad esempio nel caso di un prestito agevolato, della percentuale di finanziamento sull’investimento, della durata del finanziamento, dell’ammontare del bonifico e del tasso di interesse vigente sul mercato al momento della concessione dell’ aiuto (tasso di riferimento fissato periodicamente dalla Commissione e pubblicati sulla Gazzetta Ufficiale dell’ Unione europea). Questo valore, calcolato in percentuale sull’investimento (sulle spese ammissibili), rappresenta l’Equivalente Sovvenzione Lorda (ESL). Se, una volta effettuata questa operazione, si sottrae la quota prelevata dallo Stato a titolo di imposizione fiscale, si ottiene l’Equivalente Sovvenzione Netta (ESN). In ogni caso valgono le disposizioni di cui all’art. 4 del reg</w:t>
      </w:r>
      <w:r>
        <w:rPr>
          <w:spacing w:val="4"/>
          <w:w w:val="105"/>
        </w:rPr>
        <w:t> </w:t>
      </w:r>
      <w:r>
        <w:rPr>
          <w:w w:val="105"/>
        </w:rPr>
        <w:t>1407/13.</w:t>
      </w:r>
    </w:p>
    <w:p>
      <w:pPr>
        <w:pStyle w:val="BodyText"/>
        <w:rPr>
          <w:sz w:val="20"/>
        </w:rPr>
      </w:pPr>
    </w:p>
    <w:p>
      <w:pPr>
        <w:spacing w:line="252" w:lineRule="auto" w:before="0"/>
        <w:ind w:left="6510" w:right="921" w:firstLine="1360"/>
        <w:jc w:val="right"/>
        <w:rPr>
          <w:rFonts w:ascii="Century Gothic" w:hAnsi="Century Gothic"/>
          <w:b/>
          <w:sz w:val="19"/>
        </w:rPr>
      </w:pPr>
      <w:r>
        <w:rPr>
          <w:rFonts w:ascii="Century Gothic" w:hAnsi="Century Gothic"/>
          <w:b/>
          <w:w w:val="105"/>
          <w:sz w:val="19"/>
        </w:rPr>
        <w:t>Timbro</w:t>
      </w:r>
      <w:r>
        <w:rPr>
          <w:rFonts w:ascii="Century Gothic" w:hAnsi="Century Gothic"/>
          <w:b/>
          <w:spacing w:val="-5"/>
          <w:w w:val="105"/>
          <w:sz w:val="19"/>
        </w:rPr>
        <w:t> </w:t>
      </w:r>
      <w:r>
        <w:rPr>
          <w:rFonts w:ascii="Century Gothic" w:hAnsi="Century Gothic"/>
          <w:b/>
          <w:w w:val="105"/>
          <w:sz w:val="19"/>
        </w:rPr>
        <w:t>dell’impresa</w:t>
      </w:r>
      <w:r>
        <w:rPr>
          <w:rFonts w:ascii="Century Gothic" w:hAnsi="Century Gothic"/>
          <w:b/>
          <w:spacing w:val="1"/>
          <w:w w:val="103"/>
          <w:sz w:val="19"/>
        </w:rPr>
        <w:t> </w:t>
      </w:r>
      <w:r>
        <w:rPr>
          <w:rFonts w:ascii="Century Gothic" w:hAnsi="Century Gothic"/>
          <w:b/>
          <w:w w:val="105"/>
          <w:sz w:val="19"/>
        </w:rPr>
        <w:t>e firma del legale</w:t>
      </w:r>
      <w:r>
        <w:rPr>
          <w:rFonts w:ascii="Century Gothic" w:hAnsi="Century Gothic"/>
          <w:b/>
          <w:spacing w:val="-9"/>
          <w:w w:val="105"/>
          <w:sz w:val="19"/>
        </w:rPr>
        <w:t> </w:t>
      </w:r>
      <w:r>
        <w:rPr>
          <w:rFonts w:ascii="Century Gothic" w:hAnsi="Century Gothic"/>
          <w:b/>
          <w:w w:val="105"/>
          <w:sz w:val="19"/>
        </w:rPr>
        <w:t>rappresentante</w:t>
      </w:r>
    </w:p>
    <w:p>
      <w:pPr>
        <w:spacing w:before="0"/>
        <w:ind w:left="0" w:right="922" w:firstLine="0"/>
        <w:jc w:val="right"/>
        <w:rPr>
          <w:rFonts w:ascii="Century Gothic"/>
          <w:b/>
          <w:sz w:val="19"/>
        </w:rPr>
      </w:pPr>
      <w:r>
        <w:rPr>
          <w:rFonts w:ascii="Century Gothic"/>
          <w:b/>
          <w:w w:val="105"/>
          <w:sz w:val="19"/>
        </w:rPr>
        <w:t>(per esteso e</w:t>
      </w:r>
      <w:r>
        <w:rPr>
          <w:rFonts w:ascii="Century Gothic"/>
          <w:b/>
          <w:spacing w:val="-8"/>
          <w:w w:val="105"/>
          <w:sz w:val="19"/>
        </w:rPr>
        <w:t> </w:t>
      </w:r>
      <w:r>
        <w:rPr>
          <w:rFonts w:ascii="Century Gothic"/>
          <w:b/>
          <w:w w:val="105"/>
          <w:sz w:val="19"/>
        </w:rPr>
        <w:t>leggibile)</w:t>
      </w:r>
    </w:p>
    <w:sectPr>
      <w:pgSz w:w="11910" w:h="16840"/>
      <w:pgMar w:header="717" w:footer="0" w:top="1700" w:bottom="280" w:left="102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entury Gothic">
    <w:altName w:val="Century Gothic"/>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968064">
          <wp:simplePos x="0" y="0"/>
          <wp:positionH relativeFrom="page">
            <wp:posOffset>726743</wp:posOffset>
          </wp:positionH>
          <wp:positionV relativeFrom="page">
            <wp:posOffset>455472</wp:posOffset>
          </wp:positionV>
          <wp:extent cx="6120384" cy="62484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120384" cy="6248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844" w:hanging="320"/>
      </w:pPr>
      <w:rPr>
        <w:rFonts w:hint="default" w:ascii="Symbol" w:hAnsi="Symbol" w:eastAsia="Symbol" w:cs="Symbol"/>
        <w:w w:val="99"/>
        <w:sz w:val="28"/>
        <w:szCs w:val="28"/>
        <w:lang w:val="it-IT" w:eastAsia="it-IT" w:bidi="it-IT"/>
      </w:rPr>
    </w:lvl>
    <w:lvl w:ilvl="1">
      <w:start w:val="0"/>
      <w:numFmt w:val="bullet"/>
      <w:lvlText w:val="◻"/>
      <w:lvlJc w:val="left"/>
      <w:pPr>
        <w:ind w:left="1117" w:hanging="360"/>
      </w:pPr>
      <w:rPr>
        <w:rFonts w:hint="default" w:ascii="Symbol" w:hAnsi="Symbol" w:eastAsia="Symbol" w:cs="Symbol"/>
        <w:w w:val="99"/>
        <w:sz w:val="28"/>
        <w:szCs w:val="28"/>
        <w:lang w:val="it-IT" w:eastAsia="it-IT" w:bidi="it-IT"/>
      </w:rPr>
    </w:lvl>
    <w:lvl w:ilvl="2">
      <w:start w:val="0"/>
      <w:numFmt w:val="bullet"/>
      <w:lvlText w:val="•"/>
      <w:lvlJc w:val="left"/>
      <w:pPr>
        <w:ind w:left="2182" w:hanging="360"/>
      </w:pPr>
      <w:rPr>
        <w:rFonts w:hint="default"/>
        <w:lang w:val="it-IT" w:eastAsia="it-IT" w:bidi="it-IT"/>
      </w:rPr>
    </w:lvl>
    <w:lvl w:ilvl="3">
      <w:start w:val="0"/>
      <w:numFmt w:val="bullet"/>
      <w:lvlText w:val="•"/>
      <w:lvlJc w:val="left"/>
      <w:pPr>
        <w:ind w:left="3245" w:hanging="360"/>
      </w:pPr>
      <w:rPr>
        <w:rFonts w:hint="default"/>
        <w:lang w:val="it-IT" w:eastAsia="it-IT" w:bidi="it-IT"/>
      </w:rPr>
    </w:lvl>
    <w:lvl w:ilvl="4">
      <w:start w:val="0"/>
      <w:numFmt w:val="bullet"/>
      <w:lvlText w:val="•"/>
      <w:lvlJc w:val="left"/>
      <w:pPr>
        <w:ind w:left="4308" w:hanging="360"/>
      </w:pPr>
      <w:rPr>
        <w:rFonts w:hint="default"/>
        <w:lang w:val="it-IT" w:eastAsia="it-IT" w:bidi="it-IT"/>
      </w:rPr>
    </w:lvl>
    <w:lvl w:ilvl="5">
      <w:start w:val="0"/>
      <w:numFmt w:val="bullet"/>
      <w:lvlText w:val="•"/>
      <w:lvlJc w:val="left"/>
      <w:pPr>
        <w:ind w:left="5371" w:hanging="360"/>
      </w:pPr>
      <w:rPr>
        <w:rFonts w:hint="default"/>
        <w:lang w:val="it-IT" w:eastAsia="it-IT" w:bidi="it-IT"/>
      </w:rPr>
    </w:lvl>
    <w:lvl w:ilvl="6">
      <w:start w:val="0"/>
      <w:numFmt w:val="bullet"/>
      <w:lvlText w:val="•"/>
      <w:lvlJc w:val="left"/>
      <w:pPr>
        <w:ind w:left="6434" w:hanging="360"/>
      </w:pPr>
      <w:rPr>
        <w:rFonts w:hint="default"/>
        <w:lang w:val="it-IT" w:eastAsia="it-IT" w:bidi="it-IT"/>
      </w:rPr>
    </w:lvl>
    <w:lvl w:ilvl="7">
      <w:start w:val="0"/>
      <w:numFmt w:val="bullet"/>
      <w:lvlText w:val="•"/>
      <w:lvlJc w:val="left"/>
      <w:pPr>
        <w:ind w:left="7497" w:hanging="360"/>
      </w:pPr>
      <w:rPr>
        <w:rFonts w:hint="default"/>
        <w:lang w:val="it-IT" w:eastAsia="it-IT" w:bidi="it-IT"/>
      </w:rPr>
    </w:lvl>
    <w:lvl w:ilvl="8">
      <w:start w:val="0"/>
      <w:numFmt w:val="bullet"/>
      <w:lvlText w:val="•"/>
      <w:lvlJc w:val="left"/>
      <w:pPr>
        <w:ind w:left="8559" w:hanging="360"/>
      </w:pPr>
      <w:rPr>
        <w:rFonts w:hint="default"/>
        <w:lang w:val="it-IT" w:eastAsia="it-IT" w:bidi="it-IT"/>
      </w:rPr>
    </w:lvl>
  </w:abstractNum>
  <w:abstractNum w:abstractNumId="7">
    <w:multiLevelType w:val="hybridMultilevel"/>
    <w:lvl w:ilvl="0">
      <w:start w:val="1"/>
      <w:numFmt w:val="lowerLetter"/>
      <w:lvlText w:val="%1)"/>
      <w:lvlJc w:val="left"/>
      <w:pPr>
        <w:ind w:left="337" w:hanging="213"/>
        <w:jc w:val="left"/>
      </w:pPr>
      <w:rPr>
        <w:rFonts w:hint="default" w:ascii="Century Gothic" w:hAnsi="Century Gothic" w:eastAsia="Century Gothic" w:cs="Century Gothic"/>
        <w:spacing w:val="0"/>
        <w:w w:val="99"/>
        <w:sz w:val="16"/>
        <w:szCs w:val="16"/>
        <w:lang w:val="it-IT" w:eastAsia="it-IT" w:bidi="it-IT"/>
      </w:rPr>
    </w:lvl>
    <w:lvl w:ilvl="1">
      <w:start w:val="0"/>
      <w:numFmt w:val="bullet"/>
      <w:lvlText w:val="•"/>
      <w:lvlJc w:val="left"/>
      <w:pPr>
        <w:ind w:left="1374" w:hanging="213"/>
      </w:pPr>
      <w:rPr>
        <w:rFonts w:hint="default"/>
        <w:lang w:val="it-IT" w:eastAsia="it-IT" w:bidi="it-IT"/>
      </w:rPr>
    </w:lvl>
    <w:lvl w:ilvl="2">
      <w:start w:val="0"/>
      <w:numFmt w:val="bullet"/>
      <w:lvlText w:val="•"/>
      <w:lvlJc w:val="left"/>
      <w:pPr>
        <w:ind w:left="2409" w:hanging="213"/>
      </w:pPr>
      <w:rPr>
        <w:rFonts w:hint="default"/>
        <w:lang w:val="it-IT" w:eastAsia="it-IT" w:bidi="it-IT"/>
      </w:rPr>
    </w:lvl>
    <w:lvl w:ilvl="3">
      <w:start w:val="0"/>
      <w:numFmt w:val="bullet"/>
      <w:lvlText w:val="•"/>
      <w:lvlJc w:val="left"/>
      <w:pPr>
        <w:ind w:left="3443" w:hanging="213"/>
      </w:pPr>
      <w:rPr>
        <w:rFonts w:hint="default"/>
        <w:lang w:val="it-IT" w:eastAsia="it-IT" w:bidi="it-IT"/>
      </w:rPr>
    </w:lvl>
    <w:lvl w:ilvl="4">
      <w:start w:val="0"/>
      <w:numFmt w:val="bullet"/>
      <w:lvlText w:val="•"/>
      <w:lvlJc w:val="left"/>
      <w:pPr>
        <w:ind w:left="4478" w:hanging="213"/>
      </w:pPr>
      <w:rPr>
        <w:rFonts w:hint="default"/>
        <w:lang w:val="it-IT" w:eastAsia="it-IT" w:bidi="it-IT"/>
      </w:rPr>
    </w:lvl>
    <w:lvl w:ilvl="5">
      <w:start w:val="0"/>
      <w:numFmt w:val="bullet"/>
      <w:lvlText w:val="•"/>
      <w:lvlJc w:val="left"/>
      <w:pPr>
        <w:ind w:left="5512" w:hanging="213"/>
      </w:pPr>
      <w:rPr>
        <w:rFonts w:hint="default"/>
        <w:lang w:val="it-IT" w:eastAsia="it-IT" w:bidi="it-IT"/>
      </w:rPr>
    </w:lvl>
    <w:lvl w:ilvl="6">
      <w:start w:val="0"/>
      <w:numFmt w:val="bullet"/>
      <w:lvlText w:val="•"/>
      <w:lvlJc w:val="left"/>
      <w:pPr>
        <w:ind w:left="6547" w:hanging="213"/>
      </w:pPr>
      <w:rPr>
        <w:rFonts w:hint="default"/>
        <w:lang w:val="it-IT" w:eastAsia="it-IT" w:bidi="it-IT"/>
      </w:rPr>
    </w:lvl>
    <w:lvl w:ilvl="7">
      <w:start w:val="0"/>
      <w:numFmt w:val="bullet"/>
      <w:lvlText w:val="•"/>
      <w:lvlJc w:val="left"/>
      <w:pPr>
        <w:ind w:left="7581" w:hanging="213"/>
      </w:pPr>
      <w:rPr>
        <w:rFonts w:hint="default"/>
        <w:lang w:val="it-IT" w:eastAsia="it-IT" w:bidi="it-IT"/>
      </w:rPr>
    </w:lvl>
    <w:lvl w:ilvl="8">
      <w:start w:val="0"/>
      <w:numFmt w:val="bullet"/>
      <w:lvlText w:val="•"/>
      <w:lvlJc w:val="left"/>
      <w:pPr>
        <w:ind w:left="8616" w:hanging="213"/>
      </w:pPr>
      <w:rPr>
        <w:rFonts w:hint="default"/>
        <w:lang w:val="it-IT" w:eastAsia="it-IT" w:bidi="it-IT"/>
      </w:rPr>
    </w:lvl>
  </w:abstractNum>
  <w:abstractNum w:abstractNumId="6">
    <w:multiLevelType w:val="hybridMultilevel"/>
    <w:lvl w:ilvl="0">
      <w:start w:val="1"/>
      <w:numFmt w:val="decimal"/>
      <w:lvlText w:val="%1."/>
      <w:lvlJc w:val="left"/>
      <w:pPr>
        <w:ind w:left="664" w:hanging="244"/>
        <w:jc w:val="left"/>
      </w:pPr>
      <w:rPr>
        <w:rFonts w:hint="default"/>
        <w:b/>
        <w:bCs/>
        <w:spacing w:val="0"/>
        <w:w w:val="102"/>
        <w:lang w:val="it-IT" w:eastAsia="it-IT" w:bidi="it-IT"/>
      </w:rPr>
    </w:lvl>
    <w:lvl w:ilvl="1">
      <w:start w:val="0"/>
      <w:numFmt w:val="bullet"/>
      <w:lvlText w:val="•"/>
      <w:lvlJc w:val="left"/>
      <w:pPr>
        <w:ind w:left="1662" w:hanging="244"/>
      </w:pPr>
      <w:rPr>
        <w:rFonts w:hint="default"/>
        <w:lang w:val="it-IT" w:eastAsia="it-IT" w:bidi="it-IT"/>
      </w:rPr>
    </w:lvl>
    <w:lvl w:ilvl="2">
      <w:start w:val="0"/>
      <w:numFmt w:val="bullet"/>
      <w:lvlText w:val="•"/>
      <w:lvlJc w:val="left"/>
      <w:pPr>
        <w:ind w:left="2665" w:hanging="244"/>
      </w:pPr>
      <w:rPr>
        <w:rFonts w:hint="default"/>
        <w:lang w:val="it-IT" w:eastAsia="it-IT" w:bidi="it-IT"/>
      </w:rPr>
    </w:lvl>
    <w:lvl w:ilvl="3">
      <w:start w:val="0"/>
      <w:numFmt w:val="bullet"/>
      <w:lvlText w:val="•"/>
      <w:lvlJc w:val="left"/>
      <w:pPr>
        <w:ind w:left="3667" w:hanging="244"/>
      </w:pPr>
      <w:rPr>
        <w:rFonts w:hint="default"/>
        <w:lang w:val="it-IT" w:eastAsia="it-IT" w:bidi="it-IT"/>
      </w:rPr>
    </w:lvl>
    <w:lvl w:ilvl="4">
      <w:start w:val="0"/>
      <w:numFmt w:val="bullet"/>
      <w:lvlText w:val="•"/>
      <w:lvlJc w:val="left"/>
      <w:pPr>
        <w:ind w:left="4670" w:hanging="244"/>
      </w:pPr>
      <w:rPr>
        <w:rFonts w:hint="default"/>
        <w:lang w:val="it-IT" w:eastAsia="it-IT" w:bidi="it-IT"/>
      </w:rPr>
    </w:lvl>
    <w:lvl w:ilvl="5">
      <w:start w:val="0"/>
      <w:numFmt w:val="bullet"/>
      <w:lvlText w:val="•"/>
      <w:lvlJc w:val="left"/>
      <w:pPr>
        <w:ind w:left="5672" w:hanging="244"/>
      </w:pPr>
      <w:rPr>
        <w:rFonts w:hint="default"/>
        <w:lang w:val="it-IT" w:eastAsia="it-IT" w:bidi="it-IT"/>
      </w:rPr>
    </w:lvl>
    <w:lvl w:ilvl="6">
      <w:start w:val="0"/>
      <w:numFmt w:val="bullet"/>
      <w:lvlText w:val="•"/>
      <w:lvlJc w:val="left"/>
      <w:pPr>
        <w:ind w:left="6675" w:hanging="244"/>
      </w:pPr>
      <w:rPr>
        <w:rFonts w:hint="default"/>
        <w:lang w:val="it-IT" w:eastAsia="it-IT" w:bidi="it-IT"/>
      </w:rPr>
    </w:lvl>
    <w:lvl w:ilvl="7">
      <w:start w:val="0"/>
      <w:numFmt w:val="bullet"/>
      <w:lvlText w:val="•"/>
      <w:lvlJc w:val="left"/>
      <w:pPr>
        <w:ind w:left="7677" w:hanging="244"/>
      </w:pPr>
      <w:rPr>
        <w:rFonts w:hint="default"/>
        <w:lang w:val="it-IT" w:eastAsia="it-IT" w:bidi="it-IT"/>
      </w:rPr>
    </w:lvl>
    <w:lvl w:ilvl="8">
      <w:start w:val="0"/>
      <w:numFmt w:val="bullet"/>
      <w:lvlText w:val="•"/>
      <w:lvlJc w:val="left"/>
      <w:pPr>
        <w:ind w:left="8680" w:hanging="244"/>
      </w:pPr>
      <w:rPr>
        <w:rFonts w:hint="default"/>
        <w:lang w:val="it-IT" w:eastAsia="it-IT" w:bidi="it-IT"/>
      </w:rPr>
    </w:lvl>
  </w:abstractNum>
  <w:abstractNum w:abstractNumId="4">
    <w:multiLevelType w:val="hybridMultilevel"/>
    <w:lvl w:ilvl="0">
      <w:start w:val="0"/>
      <w:numFmt w:val="bullet"/>
      <w:lvlText w:val="◻"/>
      <w:lvlJc w:val="left"/>
      <w:pPr>
        <w:ind w:left="844" w:hanging="360"/>
      </w:pPr>
      <w:rPr>
        <w:rFonts w:hint="default" w:ascii="Symbol" w:hAnsi="Symbol" w:eastAsia="Symbol" w:cs="Symbol"/>
        <w:w w:val="99"/>
        <w:sz w:val="28"/>
        <w:szCs w:val="28"/>
        <w:lang w:val="it-IT" w:eastAsia="it-IT" w:bidi="it-IT"/>
      </w:rPr>
    </w:lvl>
    <w:lvl w:ilvl="1">
      <w:start w:val="0"/>
      <w:numFmt w:val="bullet"/>
      <w:lvlText w:val="•"/>
      <w:lvlJc w:val="left"/>
      <w:pPr>
        <w:ind w:left="1824" w:hanging="360"/>
      </w:pPr>
      <w:rPr>
        <w:rFonts w:hint="default"/>
        <w:lang w:val="it-IT" w:eastAsia="it-IT" w:bidi="it-IT"/>
      </w:rPr>
    </w:lvl>
    <w:lvl w:ilvl="2">
      <w:start w:val="0"/>
      <w:numFmt w:val="bullet"/>
      <w:lvlText w:val="•"/>
      <w:lvlJc w:val="left"/>
      <w:pPr>
        <w:ind w:left="2809" w:hanging="360"/>
      </w:pPr>
      <w:rPr>
        <w:rFonts w:hint="default"/>
        <w:lang w:val="it-IT" w:eastAsia="it-IT" w:bidi="it-IT"/>
      </w:rPr>
    </w:lvl>
    <w:lvl w:ilvl="3">
      <w:start w:val="0"/>
      <w:numFmt w:val="bullet"/>
      <w:lvlText w:val="•"/>
      <w:lvlJc w:val="left"/>
      <w:pPr>
        <w:ind w:left="3793" w:hanging="360"/>
      </w:pPr>
      <w:rPr>
        <w:rFonts w:hint="default"/>
        <w:lang w:val="it-IT" w:eastAsia="it-IT" w:bidi="it-IT"/>
      </w:rPr>
    </w:lvl>
    <w:lvl w:ilvl="4">
      <w:start w:val="0"/>
      <w:numFmt w:val="bullet"/>
      <w:lvlText w:val="•"/>
      <w:lvlJc w:val="left"/>
      <w:pPr>
        <w:ind w:left="4778" w:hanging="360"/>
      </w:pPr>
      <w:rPr>
        <w:rFonts w:hint="default"/>
        <w:lang w:val="it-IT" w:eastAsia="it-IT" w:bidi="it-IT"/>
      </w:rPr>
    </w:lvl>
    <w:lvl w:ilvl="5">
      <w:start w:val="0"/>
      <w:numFmt w:val="bullet"/>
      <w:lvlText w:val="•"/>
      <w:lvlJc w:val="left"/>
      <w:pPr>
        <w:ind w:left="5762" w:hanging="360"/>
      </w:pPr>
      <w:rPr>
        <w:rFonts w:hint="default"/>
        <w:lang w:val="it-IT" w:eastAsia="it-IT" w:bidi="it-IT"/>
      </w:rPr>
    </w:lvl>
    <w:lvl w:ilvl="6">
      <w:start w:val="0"/>
      <w:numFmt w:val="bullet"/>
      <w:lvlText w:val="•"/>
      <w:lvlJc w:val="left"/>
      <w:pPr>
        <w:ind w:left="6747" w:hanging="360"/>
      </w:pPr>
      <w:rPr>
        <w:rFonts w:hint="default"/>
        <w:lang w:val="it-IT" w:eastAsia="it-IT" w:bidi="it-IT"/>
      </w:rPr>
    </w:lvl>
    <w:lvl w:ilvl="7">
      <w:start w:val="0"/>
      <w:numFmt w:val="bullet"/>
      <w:lvlText w:val="•"/>
      <w:lvlJc w:val="left"/>
      <w:pPr>
        <w:ind w:left="7731" w:hanging="360"/>
      </w:pPr>
      <w:rPr>
        <w:rFonts w:hint="default"/>
        <w:lang w:val="it-IT" w:eastAsia="it-IT" w:bidi="it-IT"/>
      </w:rPr>
    </w:lvl>
    <w:lvl w:ilvl="8">
      <w:start w:val="0"/>
      <w:numFmt w:val="bullet"/>
      <w:lvlText w:val="•"/>
      <w:lvlJc w:val="left"/>
      <w:pPr>
        <w:ind w:left="8716" w:hanging="360"/>
      </w:pPr>
      <w:rPr>
        <w:rFonts w:hint="default"/>
        <w:lang w:val="it-IT" w:eastAsia="it-IT" w:bidi="it-IT"/>
      </w:rPr>
    </w:lvl>
  </w:abstractNum>
  <w:abstractNum w:abstractNumId="3">
    <w:multiLevelType w:val="hybridMultilevel"/>
    <w:lvl w:ilvl="0">
      <w:start w:val="1"/>
      <w:numFmt w:val="lowerLetter"/>
      <w:lvlText w:val="%1)"/>
      <w:lvlJc w:val="left"/>
      <w:pPr>
        <w:ind w:left="803" w:hanging="424"/>
        <w:jc w:val="right"/>
      </w:pPr>
      <w:rPr>
        <w:rFonts w:hint="default"/>
        <w:w w:val="102"/>
        <w:lang w:val="it-IT" w:eastAsia="it-IT" w:bidi="it-IT"/>
      </w:rPr>
    </w:lvl>
    <w:lvl w:ilvl="1">
      <w:start w:val="0"/>
      <w:numFmt w:val="bullet"/>
      <w:lvlText w:val="•"/>
      <w:lvlJc w:val="left"/>
      <w:pPr>
        <w:ind w:left="1788" w:hanging="424"/>
      </w:pPr>
      <w:rPr>
        <w:rFonts w:hint="default"/>
        <w:lang w:val="it-IT" w:eastAsia="it-IT" w:bidi="it-IT"/>
      </w:rPr>
    </w:lvl>
    <w:lvl w:ilvl="2">
      <w:start w:val="0"/>
      <w:numFmt w:val="bullet"/>
      <w:lvlText w:val="•"/>
      <w:lvlJc w:val="left"/>
      <w:pPr>
        <w:ind w:left="2777" w:hanging="424"/>
      </w:pPr>
      <w:rPr>
        <w:rFonts w:hint="default"/>
        <w:lang w:val="it-IT" w:eastAsia="it-IT" w:bidi="it-IT"/>
      </w:rPr>
    </w:lvl>
    <w:lvl w:ilvl="3">
      <w:start w:val="0"/>
      <w:numFmt w:val="bullet"/>
      <w:lvlText w:val="•"/>
      <w:lvlJc w:val="left"/>
      <w:pPr>
        <w:ind w:left="3765" w:hanging="424"/>
      </w:pPr>
      <w:rPr>
        <w:rFonts w:hint="default"/>
        <w:lang w:val="it-IT" w:eastAsia="it-IT" w:bidi="it-IT"/>
      </w:rPr>
    </w:lvl>
    <w:lvl w:ilvl="4">
      <w:start w:val="0"/>
      <w:numFmt w:val="bullet"/>
      <w:lvlText w:val="•"/>
      <w:lvlJc w:val="left"/>
      <w:pPr>
        <w:ind w:left="4754" w:hanging="424"/>
      </w:pPr>
      <w:rPr>
        <w:rFonts w:hint="default"/>
        <w:lang w:val="it-IT" w:eastAsia="it-IT" w:bidi="it-IT"/>
      </w:rPr>
    </w:lvl>
    <w:lvl w:ilvl="5">
      <w:start w:val="0"/>
      <w:numFmt w:val="bullet"/>
      <w:lvlText w:val="•"/>
      <w:lvlJc w:val="left"/>
      <w:pPr>
        <w:ind w:left="5742" w:hanging="424"/>
      </w:pPr>
      <w:rPr>
        <w:rFonts w:hint="default"/>
        <w:lang w:val="it-IT" w:eastAsia="it-IT" w:bidi="it-IT"/>
      </w:rPr>
    </w:lvl>
    <w:lvl w:ilvl="6">
      <w:start w:val="0"/>
      <w:numFmt w:val="bullet"/>
      <w:lvlText w:val="•"/>
      <w:lvlJc w:val="left"/>
      <w:pPr>
        <w:ind w:left="6731" w:hanging="424"/>
      </w:pPr>
      <w:rPr>
        <w:rFonts w:hint="default"/>
        <w:lang w:val="it-IT" w:eastAsia="it-IT" w:bidi="it-IT"/>
      </w:rPr>
    </w:lvl>
    <w:lvl w:ilvl="7">
      <w:start w:val="0"/>
      <w:numFmt w:val="bullet"/>
      <w:lvlText w:val="•"/>
      <w:lvlJc w:val="left"/>
      <w:pPr>
        <w:ind w:left="7719" w:hanging="424"/>
      </w:pPr>
      <w:rPr>
        <w:rFonts w:hint="default"/>
        <w:lang w:val="it-IT" w:eastAsia="it-IT" w:bidi="it-IT"/>
      </w:rPr>
    </w:lvl>
    <w:lvl w:ilvl="8">
      <w:start w:val="0"/>
      <w:numFmt w:val="bullet"/>
      <w:lvlText w:val="•"/>
      <w:lvlJc w:val="left"/>
      <w:pPr>
        <w:ind w:left="8708" w:hanging="424"/>
      </w:pPr>
      <w:rPr>
        <w:rFonts w:hint="default"/>
        <w:lang w:val="it-IT" w:eastAsia="it-IT" w:bidi="it-IT"/>
      </w:rPr>
    </w:lvl>
  </w:abstractNum>
  <w:abstractNum w:abstractNumId="2">
    <w:multiLevelType w:val="hybridMultilevel"/>
    <w:lvl w:ilvl="0">
      <w:start w:val="0"/>
      <w:numFmt w:val="bullet"/>
      <w:lvlText w:val="◻"/>
      <w:lvlJc w:val="left"/>
      <w:pPr>
        <w:ind w:left="844" w:hanging="360"/>
      </w:pPr>
      <w:rPr>
        <w:rFonts w:hint="default" w:ascii="Symbol" w:hAnsi="Symbol" w:eastAsia="Symbol" w:cs="Symbol"/>
        <w:w w:val="99"/>
        <w:sz w:val="28"/>
        <w:szCs w:val="28"/>
        <w:lang w:val="it-IT" w:eastAsia="it-IT" w:bidi="it-IT"/>
      </w:rPr>
    </w:lvl>
    <w:lvl w:ilvl="1">
      <w:start w:val="0"/>
      <w:numFmt w:val="bullet"/>
      <w:lvlText w:val="•"/>
      <w:lvlJc w:val="left"/>
      <w:pPr>
        <w:ind w:left="1824" w:hanging="360"/>
      </w:pPr>
      <w:rPr>
        <w:rFonts w:hint="default"/>
        <w:lang w:val="it-IT" w:eastAsia="it-IT" w:bidi="it-IT"/>
      </w:rPr>
    </w:lvl>
    <w:lvl w:ilvl="2">
      <w:start w:val="0"/>
      <w:numFmt w:val="bullet"/>
      <w:lvlText w:val="•"/>
      <w:lvlJc w:val="left"/>
      <w:pPr>
        <w:ind w:left="2809" w:hanging="360"/>
      </w:pPr>
      <w:rPr>
        <w:rFonts w:hint="default"/>
        <w:lang w:val="it-IT" w:eastAsia="it-IT" w:bidi="it-IT"/>
      </w:rPr>
    </w:lvl>
    <w:lvl w:ilvl="3">
      <w:start w:val="0"/>
      <w:numFmt w:val="bullet"/>
      <w:lvlText w:val="•"/>
      <w:lvlJc w:val="left"/>
      <w:pPr>
        <w:ind w:left="3793" w:hanging="360"/>
      </w:pPr>
      <w:rPr>
        <w:rFonts w:hint="default"/>
        <w:lang w:val="it-IT" w:eastAsia="it-IT" w:bidi="it-IT"/>
      </w:rPr>
    </w:lvl>
    <w:lvl w:ilvl="4">
      <w:start w:val="0"/>
      <w:numFmt w:val="bullet"/>
      <w:lvlText w:val="•"/>
      <w:lvlJc w:val="left"/>
      <w:pPr>
        <w:ind w:left="4778" w:hanging="360"/>
      </w:pPr>
      <w:rPr>
        <w:rFonts w:hint="default"/>
        <w:lang w:val="it-IT" w:eastAsia="it-IT" w:bidi="it-IT"/>
      </w:rPr>
    </w:lvl>
    <w:lvl w:ilvl="5">
      <w:start w:val="0"/>
      <w:numFmt w:val="bullet"/>
      <w:lvlText w:val="•"/>
      <w:lvlJc w:val="left"/>
      <w:pPr>
        <w:ind w:left="5762" w:hanging="360"/>
      </w:pPr>
      <w:rPr>
        <w:rFonts w:hint="default"/>
        <w:lang w:val="it-IT" w:eastAsia="it-IT" w:bidi="it-IT"/>
      </w:rPr>
    </w:lvl>
    <w:lvl w:ilvl="6">
      <w:start w:val="0"/>
      <w:numFmt w:val="bullet"/>
      <w:lvlText w:val="•"/>
      <w:lvlJc w:val="left"/>
      <w:pPr>
        <w:ind w:left="6747" w:hanging="360"/>
      </w:pPr>
      <w:rPr>
        <w:rFonts w:hint="default"/>
        <w:lang w:val="it-IT" w:eastAsia="it-IT" w:bidi="it-IT"/>
      </w:rPr>
    </w:lvl>
    <w:lvl w:ilvl="7">
      <w:start w:val="0"/>
      <w:numFmt w:val="bullet"/>
      <w:lvlText w:val="•"/>
      <w:lvlJc w:val="left"/>
      <w:pPr>
        <w:ind w:left="7731" w:hanging="360"/>
      </w:pPr>
      <w:rPr>
        <w:rFonts w:hint="default"/>
        <w:lang w:val="it-IT" w:eastAsia="it-IT" w:bidi="it-IT"/>
      </w:rPr>
    </w:lvl>
    <w:lvl w:ilvl="8">
      <w:start w:val="0"/>
      <w:numFmt w:val="bullet"/>
      <w:lvlText w:val="•"/>
      <w:lvlJc w:val="left"/>
      <w:pPr>
        <w:ind w:left="8716" w:hanging="360"/>
      </w:pPr>
      <w:rPr>
        <w:rFonts w:hint="default"/>
        <w:lang w:val="it-IT" w:eastAsia="it-IT" w:bidi="it-IT"/>
      </w:rPr>
    </w:lvl>
  </w:abstractNum>
  <w:abstractNum w:abstractNumId="1">
    <w:multiLevelType w:val="hybridMultilevel"/>
    <w:lvl w:ilvl="0">
      <w:start w:val="0"/>
      <w:numFmt w:val="bullet"/>
      <w:lvlText w:val="-"/>
      <w:lvlJc w:val="left"/>
      <w:pPr>
        <w:ind w:left="844" w:hanging="360"/>
      </w:pPr>
      <w:rPr>
        <w:rFonts w:hint="default" w:ascii="Times New Roman" w:hAnsi="Times New Roman" w:eastAsia="Times New Roman" w:cs="Times New Roman"/>
        <w:w w:val="102"/>
        <w:sz w:val="21"/>
        <w:szCs w:val="21"/>
        <w:lang w:val="it-IT" w:eastAsia="it-IT" w:bidi="it-IT"/>
      </w:rPr>
    </w:lvl>
    <w:lvl w:ilvl="1">
      <w:start w:val="0"/>
      <w:numFmt w:val="bullet"/>
      <w:lvlText w:val="•"/>
      <w:lvlJc w:val="left"/>
      <w:pPr>
        <w:ind w:left="1824" w:hanging="360"/>
      </w:pPr>
      <w:rPr>
        <w:rFonts w:hint="default"/>
        <w:lang w:val="it-IT" w:eastAsia="it-IT" w:bidi="it-IT"/>
      </w:rPr>
    </w:lvl>
    <w:lvl w:ilvl="2">
      <w:start w:val="0"/>
      <w:numFmt w:val="bullet"/>
      <w:lvlText w:val="•"/>
      <w:lvlJc w:val="left"/>
      <w:pPr>
        <w:ind w:left="2809" w:hanging="360"/>
      </w:pPr>
      <w:rPr>
        <w:rFonts w:hint="default"/>
        <w:lang w:val="it-IT" w:eastAsia="it-IT" w:bidi="it-IT"/>
      </w:rPr>
    </w:lvl>
    <w:lvl w:ilvl="3">
      <w:start w:val="0"/>
      <w:numFmt w:val="bullet"/>
      <w:lvlText w:val="•"/>
      <w:lvlJc w:val="left"/>
      <w:pPr>
        <w:ind w:left="3793" w:hanging="360"/>
      </w:pPr>
      <w:rPr>
        <w:rFonts w:hint="default"/>
        <w:lang w:val="it-IT" w:eastAsia="it-IT" w:bidi="it-IT"/>
      </w:rPr>
    </w:lvl>
    <w:lvl w:ilvl="4">
      <w:start w:val="0"/>
      <w:numFmt w:val="bullet"/>
      <w:lvlText w:val="•"/>
      <w:lvlJc w:val="left"/>
      <w:pPr>
        <w:ind w:left="4778" w:hanging="360"/>
      </w:pPr>
      <w:rPr>
        <w:rFonts w:hint="default"/>
        <w:lang w:val="it-IT" w:eastAsia="it-IT" w:bidi="it-IT"/>
      </w:rPr>
    </w:lvl>
    <w:lvl w:ilvl="5">
      <w:start w:val="0"/>
      <w:numFmt w:val="bullet"/>
      <w:lvlText w:val="•"/>
      <w:lvlJc w:val="left"/>
      <w:pPr>
        <w:ind w:left="5762" w:hanging="360"/>
      </w:pPr>
      <w:rPr>
        <w:rFonts w:hint="default"/>
        <w:lang w:val="it-IT" w:eastAsia="it-IT" w:bidi="it-IT"/>
      </w:rPr>
    </w:lvl>
    <w:lvl w:ilvl="6">
      <w:start w:val="0"/>
      <w:numFmt w:val="bullet"/>
      <w:lvlText w:val="•"/>
      <w:lvlJc w:val="left"/>
      <w:pPr>
        <w:ind w:left="6747" w:hanging="360"/>
      </w:pPr>
      <w:rPr>
        <w:rFonts w:hint="default"/>
        <w:lang w:val="it-IT" w:eastAsia="it-IT" w:bidi="it-IT"/>
      </w:rPr>
    </w:lvl>
    <w:lvl w:ilvl="7">
      <w:start w:val="0"/>
      <w:numFmt w:val="bullet"/>
      <w:lvlText w:val="•"/>
      <w:lvlJc w:val="left"/>
      <w:pPr>
        <w:ind w:left="7731" w:hanging="360"/>
      </w:pPr>
      <w:rPr>
        <w:rFonts w:hint="default"/>
        <w:lang w:val="it-IT" w:eastAsia="it-IT" w:bidi="it-IT"/>
      </w:rPr>
    </w:lvl>
    <w:lvl w:ilvl="8">
      <w:start w:val="0"/>
      <w:numFmt w:val="bullet"/>
      <w:lvlText w:val="•"/>
      <w:lvlJc w:val="left"/>
      <w:pPr>
        <w:ind w:left="8716" w:hanging="360"/>
      </w:pPr>
      <w:rPr>
        <w:rFonts w:hint="default"/>
        <w:lang w:val="it-IT" w:eastAsia="it-IT" w:bidi="it-IT"/>
      </w:rPr>
    </w:lvl>
  </w:abstractNum>
  <w:abstractNum w:abstractNumId="0">
    <w:multiLevelType w:val="hybridMultilevel"/>
    <w:lvl w:ilvl="0">
      <w:start w:val="0"/>
      <w:numFmt w:val="bullet"/>
      <w:lvlText w:val="□"/>
      <w:lvlJc w:val="left"/>
      <w:pPr>
        <w:ind w:left="893" w:hanging="409"/>
      </w:pPr>
      <w:rPr>
        <w:rFonts w:hint="default" w:ascii="Courier New" w:hAnsi="Courier New" w:eastAsia="Courier New" w:cs="Courier New"/>
        <w:w w:val="102"/>
        <w:sz w:val="21"/>
        <w:szCs w:val="21"/>
        <w:lang w:val="it-IT" w:eastAsia="it-IT" w:bidi="it-IT"/>
      </w:rPr>
    </w:lvl>
    <w:lvl w:ilvl="1">
      <w:start w:val="0"/>
      <w:numFmt w:val="bullet"/>
      <w:lvlText w:val="•"/>
      <w:lvlJc w:val="left"/>
      <w:pPr>
        <w:ind w:left="1878" w:hanging="409"/>
      </w:pPr>
      <w:rPr>
        <w:rFonts w:hint="default"/>
        <w:lang w:val="it-IT" w:eastAsia="it-IT" w:bidi="it-IT"/>
      </w:rPr>
    </w:lvl>
    <w:lvl w:ilvl="2">
      <w:start w:val="0"/>
      <w:numFmt w:val="bullet"/>
      <w:lvlText w:val="•"/>
      <w:lvlJc w:val="left"/>
      <w:pPr>
        <w:ind w:left="2857" w:hanging="409"/>
      </w:pPr>
      <w:rPr>
        <w:rFonts w:hint="default"/>
        <w:lang w:val="it-IT" w:eastAsia="it-IT" w:bidi="it-IT"/>
      </w:rPr>
    </w:lvl>
    <w:lvl w:ilvl="3">
      <w:start w:val="0"/>
      <w:numFmt w:val="bullet"/>
      <w:lvlText w:val="•"/>
      <w:lvlJc w:val="left"/>
      <w:pPr>
        <w:ind w:left="3835" w:hanging="409"/>
      </w:pPr>
      <w:rPr>
        <w:rFonts w:hint="default"/>
        <w:lang w:val="it-IT" w:eastAsia="it-IT" w:bidi="it-IT"/>
      </w:rPr>
    </w:lvl>
    <w:lvl w:ilvl="4">
      <w:start w:val="0"/>
      <w:numFmt w:val="bullet"/>
      <w:lvlText w:val="•"/>
      <w:lvlJc w:val="left"/>
      <w:pPr>
        <w:ind w:left="4814" w:hanging="409"/>
      </w:pPr>
      <w:rPr>
        <w:rFonts w:hint="default"/>
        <w:lang w:val="it-IT" w:eastAsia="it-IT" w:bidi="it-IT"/>
      </w:rPr>
    </w:lvl>
    <w:lvl w:ilvl="5">
      <w:start w:val="0"/>
      <w:numFmt w:val="bullet"/>
      <w:lvlText w:val="•"/>
      <w:lvlJc w:val="left"/>
      <w:pPr>
        <w:ind w:left="5792" w:hanging="409"/>
      </w:pPr>
      <w:rPr>
        <w:rFonts w:hint="default"/>
        <w:lang w:val="it-IT" w:eastAsia="it-IT" w:bidi="it-IT"/>
      </w:rPr>
    </w:lvl>
    <w:lvl w:ilvl="6">
      <w:start w:val="0"/>
      <w:numFmt w:val="bullet"/>
      <w:lvlText w:val="•"/>
      <w:lvlJc w:val="left"/>
      <w:pPr>
        <w:ind w:left="6771" w:hanging="409"/>
      </w:pPr>
      <w:rPr>
        <w:rFonts w:hint="default"/>
        <w:lang w:val="it-IT" w:eastAsia="it-IT" w:bidi="it-IT"/>
      </w:rPr>
    </w:lvl>
    <w:lvl w:ilvl="7">
      <w:start w:val="0"/>
      <w:numFmt w:val="bullet"/>
      <w:lvlText w:val="•"/>
      <w:lvlJc w:val="left"/>
      <w:pPr>
        <w:ind w:left="7749" w:hanging="409"/>
      </w:pPr>
      <w:rPr>
        <w:rFonts w:hint="default"/>
        <w:lang w:val="it-IT" w:eastAsia="it-IT" w:bidi="it-IT"/>
      </w:rPr>
    </w:lvl>
    <w:lvl w:ilvl="8">
      <w:start w:val="0"/>
      <w:numFmt w:val="bullet"/>
      <w:lvlText w:val="•"/>
      <w:lvlJc w:val="left"/>
      <w:pPr>
        <w:ind w:left="8728" w:hanging="409"/>
      </w:pPr>
      <w:rPr>
        <w:rFonts w:hint="default"/>
        <w:lang w:val="it-IT" w:eastAsia="it-IT" w:bidi="it-IT"/>
      </w:rPr>
    </w:lvl>
  </w:abstractNum>
  <w:num w:numId="6">
    <w:abstractNumId w:val="5"/>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it-IT" w:bidi="it-IT"/>
    </w:rPr>
  </w:style>
  <w:style w:styleId="BodyText" w:type="paragraph">
    <w:name w:val="Body Text"/>
    <w:basedOn w:val="Normal"/>
    <w:uiPriority w:val="1"/>
    <w:qFormat/>
    <w:pPr/>
    <w:rPr>
      <w:rFonts w:ascii="Calibri" w:hAnsi="Calibri" w:eastAsia="Calibri" w:cs="Calibri"/>
      <w:sz w:val="21"/>
      <w:szCs w:val="21"/>
      <w:lang w:val="it-IT" w:eastAsia="it-IT" w:bidi="it-IT"/>
    </w:rPr>
  </w:style>
  <w:style w:styleId="Heading1" w:type="paragraph">
    <w:name w:val="Heading 1"/>
    <w:basedOn w:val="Normal"/>
    <w:uiPriority w:val="1"/>
    <w:qFormat/>
    <w:pPr>
      <w:ind w:left="2442"/>
      <w:jc w:val="center"/>
      <w:outlineLvl w:val="1"/>
    </w:pPr>
    <w:rPr>
      <w:rFonts w:ascii="Calibri" w:hAnsi="Calibri" w:eastAsia="Calibri" w:cs="Calibri"/>
      <w:b/>
      <w:bCs/>
      <w:sz w:val="21"/>
      <w:szCs w:val="21"/>
      <w:lang w:val="it-IT" w:eastAsia="it-IT" w:bidi="it-IT"/>
    </w:rPr>
  </w:style>
  <w:style w:styleId="ListParagraph" w:type="paragraph">
    <w:name w:val="List Paragraph"/>
    <w:basedOn w:val="Normal"/>
    <w:uiPriority w:val="1"/>
    <w:qFormat/>
    <w:pPr>
      <w:ind w:left="844" w:hanging="360"/>
    </w:pPr>
    <w:rPr>
      <w:rFonts w:ascii="Calibri" w:hAnsi="Calibri" w:eastAsia="Calibri" w:cs="Calibri"/>
      <w:lang w:val="it-IT" w:eastAsia="it-IT" w:bidi="it-IT"/>
    </w:rPr>
  </w:style>
  <w:style w:styleId="TableParagraph" w:type="paragraph">
    <w:name w:val="Table Paragraph"/>
    <w:basedOn w:val="Normal"/>
    <w:uiPriority w:val="1"/>
    <w:qFormat/>
    <w:pPr/>
    <w:rPr>
      <w:rFonts w:ascii="Century Gothic" w:hAnsi="Century Gothic" w:eastAsia="Century Gothic" w:cs="Century Gothic"/>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8.docx</dc:title>
  <dcterms:created xsi:type="dcterms:W3CDTF">2021-02-03T10:48:51Z</dcterms:created>
  <dcterms:modified xsi:type="dcterms:W3CDTF">2021-02-03T10:48:51Z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Word</vt:lpwstr>
  </property>
  <property fmtid="{D5CDD505-2E9C-101B-9397-08002B2CF9AE}" pid="4" name="LastSaved">
    <vt:filetime>2021-02-03T00:00:00Z</vt:filetime>
  </property>
</Properties>
</file>